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D307B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14:paraId="3699D394">
      <w:pPr>
        <w:keepNext w:val="0"/>
        <w:keepLines w:val="0"/>
        <w:pageBreakBefore w:val="0"/>
        <w:widowControl w:val="0"/>
        <w:kinsoku/>
        <w:wordWrap/>
        <w:overflowPunct/>
        <w:topLinePunct w:val="0"/>
        <w:autoSpaceDE/>
        <w:autoSpaceDN/>
        <w:bidi w:val="0"/>
        <w:adjustRightInd/>
        <w:snapToGrid/>
        <w:spacing w:before="63" w:beforeLines="20"/>
        <w:jc w:val="center"/>
        <w:textAlignment w:val="auto"/>
        <w:rPr>
          <w:rFonts w:hint="eastAsia" w:ascii="方正小标宋简体" w:hAnsi="方正小标宋简体" w:eastAsia="方正小标宋简体" w:cs="方正小标宋简体"/>
          <w:sz w:val="44"/>
          <w:szCs w:val="44"/>
          <w:lang w:val="en-US" w:eastAsia="zh-CN"/>
        </w:rPr>
      </w:pPr>
      <w:bookmarkStart w:id="0" w:name="_GoBack"/>
      <w:bookmarkEnd w:id="0"/>
      <w:r>
        <w:rPr>
          <w:rFonts w:hint="eastAsia" w:ascii="方正小标宋简体" w:hAnsi="方正小标宋简体" w:eastAsia="方正小标宋简体" w:cs="方正小标宋简体"/>
          <w:sz w:val="44"/>
          <w:szCs w:val="44"/>
          <w:lang w:val="en-US" w:eastAsia="zh-CN"/>
        </w:rPr>
        <w:t>山西省井工生产煤矿复产验收基本条件（2026版）</w:t>
      </w:r>
    </w:p>
    <w:p w14:paraId="4005790A">
      <w:pPr>
        <w:keepNext w:val="0"/>
        <w:keepLines w:val="0"/>
        <w:pageBreakBefore w:val="0"/>
        <w:widowControl w:val="0"/>
        <w:kinsoku/>
        <w:wordWrap/>
        <w:overflowPunct/>
        <w:topLinePunct w:val="0"/>
        <w:autoSpaceDE/>
        <w:autoSpaceDN/>
        <w:bidi w:val="0"/>
        <w:adjustRightInd/>
        <w:snapToGrid/>
        <w:spacing w:before="63" w:beforeLines="20"/>
        <w:ind w:firstLine="240" w:firstLineChars="1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矿井名称（章）：                       煤矿主要负责人签字：                                   日期：</w:t>
      </w:r>
    </w:p>
    <w:tbl>
      <w:tblPr>
        <w:tblStyle w:val="11"/>
        <w:tblW w:w="1381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8"/>
        <w:gridCol w:w="678"/>
        <w:gridCol w:w="2825"/>
        <w:gridCol w:w="6336"/>
        <w:gridCol w:w="969"/>
        <w:gridCol w:w="945"/>
        <w:gridCol w:w="1380"/>
      </w:tblGrid>
      <w:tr w14:paraId="24567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7" w:hRule="atLeast"/>
          <w:tblHeader/>
        </w:trPr>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361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b w:val="0"/>
                <w:bCs w:val="0"/>
                <w:i w:val="0"/>
                <w:iCs w:val="0"/>
                <w:color w:val="000000"/>
                <w:sz w:val="18"/>
                <w:szCs w:val="18"/>
                <w:u w:val="none"/>
              </w:rPr>
            </w:pPr>
            <w:r>
              <w:rPr>
                <w:rFonts w:hint="eastAsia" w:ascii="黑体" w:hAnsi="宋体" w:eastAsia="黑体" w:cs="黑体"/>
                <w:b w:val="0"/>
                <w:bCs w:val="0"/>
                <w:i w:val="0"/>
                <w:iCs w:val="0"/>
                <w:color w:val="000000"/>
                <w:kern w:val="0"/>
                <w:sz w:val="18"/>
                <w:szCs w:val="18"/>
                <w:u w:val="none"/>
                <w:lang w:val="en-US" w:eastAsia="zh-CN" w:bidi="ar"/>
              </w:rPr>
              <w:t>项目</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1A0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b w:val="0"/>
                <w:bCs w:val="0"/>
                <w:i w:val="0"/>
                <w:iCs w:val="0"/>
                <w:color w:val="000000"/>
                <w:sz w:val="18"/>
                <w:szCs w:val="18"/>
                <w:u w:val="none"/>
              </w:rPr>
            </w:pPr>
            <w:r>
              <w:rPr>
                <w:rFonts w:hint="eastAsia" w:ascii="黑体" w:hAnsi="宋体" w:eastAsia="黑体" w:cs="黑体"/>
                <w:b w:val="0"/>
                <w:bCs w:val="0"/>
                <w:i w:val="0"/>
                <w:iCs w:val="0"/>
                <w:color w:val="000000"/>
                <w:kern w:val="0"/>
                <w:sz w:val="18"/>
                <w:szCs w:val="18"/>
                <w:u w:val="none"/>
                <w:lang w:val="en-US" w:eastAsia="zh-CN" w:bidi="ar"/>
              </w:rPr>
              <w:t>序号</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8A0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b w:val="0"/>
                <w:bCs w:val="0"/>
                <w:i w:val="0"/>
                <w:iCs w:val="0"/>
                <w:color w:val="000000"/>
                <w:sz w:val="18"/>
                <w:szCs w:val="18"/>
                <w:u w:val="none"/>
              </w:rPr>
            </w:pPr>
            <w:r>
              <w:rPr>
                <w:rFonts w:hint="eastAsia" w:ascii="黑体" w:hAnsi="宋体" w:eastAsia="黑体" w:cs="黑体"/>
                <w:b w:val="0"/>
                <w:bCs w:val="0"/>
                <w:i w:val="0"/>
                <w:iCs w:val="0"/>
                <w:color w:val="000000"/>
                <w:kern w:val="0"/>
                <w:sz w:val="18"/>
                <w:szCs w:val="18"/>
                <w:u w:val="none"/>
                <w:lang w:val="en-US" w:eastAsia="zh-CN" w:bidi="ar"/>
              </w:rPr>
              <w:t>验收内容</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C51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b w:val="0"/>
                <w:bCs w:val="0"/>
                <w:i w:val="0"/>
                <w:iCs w:val="0"/>
                <w:color w:val="000000"/>
                <w:sz w:val="18"/>
                <w:szCs w:val="18"/>
                <w:u w:val="none"/>
              </w:rPr>
            </w:pPr>
            <w:r>
              <w:rPr>
                <w:rFonts w:hint="eastAsia" w:ascii="黑体" w:hAnsi="宋体" w:eastAsia="黑体" w:cs="黑体"/>
                <w:b w:val="0"/>
                <w:bCs w:val="0"/>
                <w:i w:val="0"/>
                <w:iCs w:val="0"/>
                <w:color w:val="000000"/>
                <w:kern w:val="0"/>
                <w:sz w:val="18"/>
                <w:szCs w:val="18"/>
                <w:u w:val="none"/>
                <w:lang w:val="en-US" w:eastAsia="zh-CN" w:bidi="ar"/>
              </w:rPr>
              <w:t>验收要求</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F45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b w:val="0"/>
                <w:bCs w:val="0"/>
                <w:i w:val="0"/>
                <w:iCs w:val="0"/>
                <w:color w:val="000000"/>
                <w:sz w:val="18"/>
                <w:szCs w:val="18"/>
                <w:u w:val="none"/>
              </w:rPr>
            </w:pPr>
            <w:r>
              <w:rPr>
                <w:rFonts w:hint="eastAsia" w:ascii="黑体" w:hAnsi="宋体" w:eastAsia="黑体" w:cs="黑体"/>
                <w:b w:val="0"/>
                <w:bCs w:val="0"/>
                <w:i w:val="0"/>
                <w:iCs w:val="0"/>
                <w:color w:val="000000"/>
                <w:kern w:val="0"/>
                <w:sz w:val="18"/>
                <w:szCs w:val="18"/>
                <w:u w:val="none"/>
                <w:lang w:val="en-US" w:eastAsia="zh-CN" w:bidi="ar"/>
              </w:rPr>
              <w:t>验收情况</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40E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b w:val="0"/>
                <w:bCs w:val="0"/>
                <w:i w:val="0"/>
                <w:iCs w:val="0"/>
                <w:color w:val="000000"/>
                <w:sz w:val="18"/>
                <w:szCs w:val="18"/>
                <w:u w:val="none"/>
              </w:rPr>
            </w:pPr>
            <w:r>
              <w:rPr>
                <w:rFonts w:hint="eastAsia" w:ascii="黑体" w:hAnsi="宋体" w:eastAsia="黑体" w:cs="黑体"/>
                <w:b w:val="0"/>
                <w:bCs w:val="0"/>
                <w:i w:val="0"/>
                <w:iCs w:val="0"/>
                <w:color w:val="000000"/>
                <w:kern w:val="0"/>
                <w:sz w:val="18"/>
                <w:szCs w:val="18"/>
                <w:u w:val="none"/>
                <w:lang w:val="en-US" w:eastAsia="zh-CN" w:bidi="ar"/>
              </w:rPr>
              <w:t>签字</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670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b w:val="0"/>
                <w:bCs w:val="0"/>
                <w:i w:val="0"/>
                <w:iCs w:val="0"/>
                <w:color w:val="000000"/>
                <w:sz w:val="18"/>
                <w:szCs w:val="18"/>
                <w:u w:val="none"/>
              </w:rPr>
            </w:pPr>
            <w:r>
              <w:rPr>
                <w:rFonts w:hint="eastAsia" w:ascii="黑体" w:hAnsi="宋体" w:eastAsia="黑体" w:cs="黑体"/>
                <w:b w:val="0"/>
                <w:bCs w:val="0"/>
                <w:i w:val="0"/>
                <w:iCs w:val="0"/>
                <w:color w:val="000000"/>
                <w:kern w:val="0"/>
                <w:sz w:val="18"/>
                <w:szCs w:val="18"/>
                <w:u w:val="none"/>
                <w:lang w:val="en-US" w:eastAsia="zh-CN" w:bidi="ar"/>
              </w:rPr>
              <w:t>备注</w:t>
            </w:r>
          </w:p>
        </w:tc>
      </w:tr>
      <w:tr w14:paraId="50A01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9C16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一、</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证照</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手续</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7AC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1</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923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营业执照</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C6F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查证照。在有效期内</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D8328">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20A92">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E060B">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6EF9A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F1B9C">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905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2</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312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采矿许可证</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62E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查证照。在有效期内</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9E1BD">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C419F">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61979">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32898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DED27">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C68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3</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410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安全生产许可证</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1A5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查证照。在有效期内</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40D1C">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CB08A">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BCA0C">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12DC2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9"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45E7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二、</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安全</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管理</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7B6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4</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4603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矿长、总工程师和分管安全、生产、机电的副矿长</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320AE">
            <w:pPr>
              <w:keepNext w:val="0"/>
              <w:keepLines w:val="0"/>
              <w:pageBreakBefore w:val="0"/>
              <w:widowControl/>
              <w:suppressLineNumbers w:val="0"/>
              <w:kinsoku/>
              <w:wordWrap/>
              <w:overflowPunct/>
              <w:topLinePunct w:val="0"/>
              <w:autoSpaceDE/>
              <w:autoSpaceDN/>
              <w:bidi w:val="0"/>
              <w:adjustRightInd/>
              <w:snapToGrid/>
              <w:spacing w:line="22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检查任职文件。任职条件符合中办国办《关于进一步加强矿山安全生产工作的意见》、国务院安委会《关于防范遏制矿山领域重特大生产安全事故的硬措施》、《山西省进一步加强矿山安全生产工作措施》相关要求</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60E5A">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2FC7A">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72D6B">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35D82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DB3A3">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291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5</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9CB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安全生产责任制</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4919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查制度。检查各级负责人、各部门、各岗位安全生产责任制的建立及执行情况</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A2BBA">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D921F">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3427E">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39C24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2"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D8D17">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1F9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6</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D6A34">
            <w:pPr>
              <w:keepNext w:val="0"/>
              <w:keepLines w:val="0"/>
              <w:pageBreakBefore w:val="0"/>
              <w:widowControl/>
              <w:suppressLineNumbers w:val="0"/>
              <w:kinsoku/>
              <w:wordWrap/>
              <w:overflowPunct/>
              <w:topLinePunct w:val="0"/>
              <w:autoSpaceDE/>
              <w:autoSpaceDN/>
              <w:bidi w:val="0"/>
              <w:adjustRightInd/>
              <w:snapToGrid/>
              <w:spacing w:line="22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生产技术、安全、通风、机电、运输、地测防治水、培训等管理机构、煤与瓦斯突出矿井设置防突管理机构</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CF20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查机构。按规定设置机构，且人员数量能满足日常工作需要</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717EF">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A4CC7">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1419D">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1891F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2"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CFEF7">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872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7</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F0E90">
            <w:pPr>
              <w:keepNext w:val="0"/>
              <w:keepLines w:val="0"/>
              <w:pageBreakBefore w:val="0"/>
              <w:widowControl/>
              <w:suppressLineNumbers w:val="0"/>
              <w:kinsoku/>
              <w:wordWrap/>
              <w:overflowPunct/>
              <w:topLinePunct w:val="0"/>
              <w:autoSpaceDE/>
              <w:autoSpaceDN/>
              <w:bidi w:val="0"/>
              <w:adjustRightInd/>
              <w:snapToGrid/>
              <w:spacing w:line="22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安全生产目标管理、投入、奖惩、技术措施审批、培训、办公会议制度，安全检查制度等</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567E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查制度。按照《煤矿安全规程》第5条等规定，检查制度建立情况，并随机抽查一个季度的执行情况</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77278">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93F34">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2A134">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05D50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9B175">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C64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8</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4EA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领导带班下井</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5C922">
            <w:pPr>
              <w:keepNext w:val="0"/>
              <w:keepLines w:val="0"/>
              <w:pageBreakBefore w:val="0"/>
              <w:widowControl/>
              <w:suppressLineNumbers w:val="0"/>
              <w:kinsoku/>
              <w:wordWrap/>
              <w:overflowPunct/>
              <w:topLinePunct w:val="0"/>
              <w:autoSpaceDE/>
              <w:autoSpaceDN/>
              <w:bidi w:val="0"/>
              <w:adjustRightInd/>
              <w:snapToGrid/>
              <w:spacing w:line="22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查制度。检查制度健全情况，并随机抽查一个月领导带班下井情况和下个月带班计划，符合《煤矿领导带班下井及安全监督检查规定》、《煤矿安全规程》第6条的规定</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226F0">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4D044">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90BE9">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7756C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4"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16957">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F44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9</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8EB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安全生产标准化建设</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88C07">
            <w:pPr>
              <w:keepNext w:val="0"/>
              <w:keepLines w:val="0"/>
              <w:pageBreakBefore w:val="0"/>
              <w:widowControl/>
              <w:suppressLineNumbers w:val="0"/>
              <w:kinsoku/>
              <w:wordWrap/>
              <w:overflowPunct/>
              <w:topLinePunct w:val="0"/>
              <w:autoSpaceDE/>
              <w:autoSpaceDN/>
              <w:bidi w:val="0"/>
              <w:adjustRightInd/>
              <w:snapToGrid/>
              <w:spacing w:line="22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w:t>
            </w:r>
            <w:r>
              <w:rPr>
                <w:rFonts w:hint="eastAsia" w:ascii="仿宋_GB2312" w:hAnsi="Tahoma" w:eastAsia="仿宋_GB2312" w:cs="仿宋_GB2312"/>
                <w:i w:val="0"/>
                <w:iCs w:val="0"/>
                <w:color w:val="000000"/>
                <w:spacing w:val="-6"/>
                <w:kern w:val="0"/>
                <w:sz w:val="20"/>
                <w:szCs w:val="20"/>
                <w:u w:val="none"/>
                <w:lang w:val="en-US" w:eastAsia="zh-CN" w:bidi="ar"/>
              </w:rPr>
              <w:t>资料。煤矿企业自查合格后向负责初审的煤矿安全生产标准化工作主管部门提出书面申请。事故煤矿按照《山西省人民政府办公厅关于印发山西省生产安全事故整顿恢复机制实施办法的通知》(晋政办发99号)执行</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66128">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1B6A4">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DFB0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spacing w:val="-11"/>
                <w:kern w:val="0"/>
                <w:sz w:val="20"/>
                <w:szCs w:val="20"/>
                <w:u w:val="none"/>
                <w:lang w:val="en-US" w:eastAsia="zh-CN" w:bidi="ar"/>
              </w:rPr>
              <w:t>按照国家新的安全生产标准化规定执行</w:t>
            </w:r>
          </w:p>
        </w:tc>
      </w:tr>
      <w:tr w14:paraId="2405B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C3E38">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16D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10</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CF0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提取和使用安全生产费用</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0444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查资料。检查本年度的提取和使用情况，符合《关于印发〈企业安全生产费用提取和使用管理办法》的通知》(财资(2022)136号)的规定</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AB6FA">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9EDB3">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1E62D">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109C7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9558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三、</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生产</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技术</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3FA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11</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1CD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专项设计</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1FCE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查专项设计和现场。存在《煤矿安全生产条例》第33条规定开采情形的，检查有无编制专项设计</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84F23">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0325A">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32A52">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2FB29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CF90F">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73E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12</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B06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采区布置</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0C1D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查采区设计和现场。按批准的采区设计进行采掘布置；采掘工作面数量符合设计、《煤矿安全规程》第117条的规定</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9B360">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B75BE">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8A9D0">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1B4B6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2CFF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三、</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生产</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技术</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CF8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13</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5F2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通风能力核定</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8770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查资料。检查每年安排采掘作业计划时核定矿井通风能力，符合《煤矿安全规程》第160条的规定</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414AF">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C349D">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46857">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3D1CE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AA32D">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2B3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14</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C9A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采掘作业计划</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1C1E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查计划。检查矿井的年、季、月计划，并核算有无超核定(设计)能力安排采掘作业计划</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6E302">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D1821">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28313">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7BAF0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3A7F3">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641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15</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06B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采掘作业规程</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E510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查规程。检查《作业规程》的审查情况。地质及开采条件发生变化，及时补充安全技术措施</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2885C">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D8FBF">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A6C40">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64A43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58D9D">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921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16</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E51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采掘衔接正常</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01D9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查资料和现场。矿井不存在《防范煤矿采掘接续紧张暂行办法》第2条情形之一的；矿井的开拓、准备、回采煤量符合《防范煤矿采掘接续紧张暂行办法》第3条规定的最短时间</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5C38D">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2EC75">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47228">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5D4F0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347CE">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965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17</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196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安全出口</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B19E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查现场。矿井、各水平、各采区以及每个采煤工作面的安全出口符合《煤矿安全规程》第110条、第119条的规定</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6D97B">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9CA5D">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E4F8F">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7B5E7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D7E41">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7E5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18</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325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各类图纸</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746A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查图纸。检查填绘的各类图纸，符合《煤矿安全规程》第17条的规定，并按规定执行图纸交换制度</w:t>
            </w:r>
          </w:p>
        </w:tc>
        <w:tc>
          <w:tcPr>
            <w:tcW w:w="969" w:type="dxa"/>
            <w:tcBorders>
              <w:top w:val="single" w:color="000000" w:sz="4" w:space="0"/>
              <w:left w:val="single" w:color="000000" w:sz="4" w:space="0"/>
              <w:bottom w:val="nil"/>
              <w:right w:val="single" w:color="000000" w:sz="4" w:space="0"/>
            </w:tcBorders>
            <w:shd w:val="clear" w:color="auto" w:fill="auto"/>
            <w:vAlign w:val="center"/>
          </w:tcPr>
          <w:p w14:paraId="41B700C2">
            <w:pPr>
              <w:keepNext w:val="0"/>
              <w:keepLines w:val="0"/>
              <w:pageBreakBefore w:val="0"/>
              <w:widowControl/>
              <w:kinsoku/>
              <w:wordWrap/>
              <w:overflowPunct/>
              <w:topLinePunct w:val="0"/>
              <w:autoSpaceDE/>
              <w:autoSpaceDN/>
              <w:bidi w:val="0"/>
              <w:adjustRightInd/>
              <w:snapToGrid/>
              <w:spacing w:line="240" w:lineRule="exac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nil"/>
              <w:right w:val="single" w:color="000000" w:sz="4" w:space="0"/>
            </w:tcBorders>
            <w:shd w:val="clear" w:color="auto" w:fill="auto"/>
            <w:vAlign w:val="center"/>
          </w:tcPr>
          <w:p w14:paraId="0170E1A1">
            <w:pPr>
              <w:keepNext w:val="0"/>
              <w:keepLines w:val="0"/>
              <w:pageBreakBefore w:val="0"/>
              <w:widowControl/>
              <w:kinsoku/>
              <w:wordWrap/>
              <w:overflowPunct/>
              <w:topLinePunct w:val="0"/>
              <w:autoSpaceDE/>
              <w:autoSpaceDN/>
              <w:bidi w:val="0"/>
              <w:adjustRightInd/>
              <w:snapToGrid/>
              <w:spacing w:line="240" w:lineRule="exac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nil"/>
              <w:right w:val="single" w:color="000000" w:sz="4" w:space="0"/>
            </w:tcBorders>
            <w:shd w:val="clear" w:color="auto" w:fill="auto"/>
            <w:vAlign w:val="center"/>
          </w:tcPr>
          <w:p w14:paraId="11B3ED2D">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3DF33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46C07">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C0B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19</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B8B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采煤工作面实现机械化开采</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CC72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查现场。检查采煤工作面实现机械化开采情况，生产煤矿发生较大以上事故的，必须按本质安全要求智能化改造</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1E0B0">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10CE5">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1D398">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50CAE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7536B">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378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20</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CE7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采掘工作面支护</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8A7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查现场。检查按《作业规程》支护情况，采掘工作面支护符合《煤矿安全规程》的规定。煤巷、半煤岩巷支护必须进行顶板离层监测</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2CD13">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9634E">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74844">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52DAD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9"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F2C4B">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AC1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21</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20E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井下作业限员制度</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8739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查资料。检查制定的井下作业限员制度和人员位置监测系统运行情况，随机抽查矿井单班入井作业人数、采煤和掘进工作面单班作业人数，符合《煤矿单班入井(坑)作业人数限员规定》要求</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05EAE">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26B24">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E99C6">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38784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50BD7">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1B5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22</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368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煤炭产量监控系统</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244E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查现场。随机抽查一个季度的煤炭产量监控系统运行情况，产量监控数据与实际产量相符</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8A586">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5F6FF">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6691C">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019C1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FA2F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四、</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一通</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三防</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24B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23</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7FC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瓦斯等级鉴定</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2EAA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查资料。检查鉴定结果，符合《煤矿安全规程》第188、189、210条和《防治煤与瓦斯突出细则》第11、12、13条，以及《煤矿瓦斯等级鉴定办法》的规定</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670DC">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EDA67">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2498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因停产不具备鉴定条件的矿井除外</w:t>
            </w:r>
          </w:p>
        </w:tc>
      </w:tr>
      <w:tr w14:paraId="2BC92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0BFAF">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258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24</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A39A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煤尘爆炸性和煤层自燃倾向性鉴定</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0D00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查报告。检查矿井开采水平煤层的煤尘爆炸性和煤层自燃倾向性鉴定报告，符合《煤矿安全规程》的规定</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9B837">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2A7A4">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10F0D">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3BC0B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86742">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593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25</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D14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通风系统</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580E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查资料和现场。矿井通风系统不存在《煤矿安全生产条例》第三十六条第(五)项规定的情形</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6D71A">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CC0D4">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ACAFF">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64292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53F1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四、</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一通</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三防</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023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26</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055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主要通风机</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84BF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查资料和现场。检查风机运行记录和正常运行情况，符合《煤矿安全规程》第177、178、179、180条的规定</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1F62E">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0E935">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8EA22">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0596D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038BA">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6DC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27</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AB6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采掘工作面通风</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8EF4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查图纸和现场。检查采掘工作面通风，符合《煤矿安全规程》第169、171、172、182条的规定</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547F8">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269B3">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DC8CF">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3AA15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DDC42">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C3F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28</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640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掘进工作面的局部通风机</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B151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查现场。检查掘进工作面的局部通风机，符合《煤矿安全规程》第183、184条的规定</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BD540">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5466B">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849B0">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2783B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9909E">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D27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29</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00B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通风设施</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25D5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查现场。检查通风设施，符合《煤矿安全规程》第173、174条的规定</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822CE">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7767D">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5B623">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72B4E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33097">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82B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30</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BA8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有毒有害气体监测</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D910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查资料和现场。检查瓦斯以及其它有毒有害气体的检查和监测记录，以及超限按规定分析和处理情况，符合《煤矿安全规程》第201条的规定</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0051F">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E4DD5">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4C2B1">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59D25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A766E">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EA6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31</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1F6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抽采瓦斯队伍</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88D0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查机构。检查组建的专门的抽采瓦斯队伍，以及配备的抽采技术人员，能满足瓦斯抽采工作需要</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1B4DC">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ADF1A">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27610">
            <w:pPr>
              <w:keepNext w:val="0"/>
              <w:keepLines w:val="0"/>
              <w:pageBreakBefore w:val="0"/>
              <w:widowControl/>
              <w:suppressLineNumbers w:val="0"/>
              <w:kinsoku/>
              <w:wordWrap/>
              <w:overflowPunct/>
              <w:topLinePunct w:val="0"/>
              <w:autoSpaceDE/>
              <w:autoSpaceDN/>
              <w:bidi w:val="0"/>
              <w:adjustRightInd/>
              <w:snapToGrid/>
              <w:spacing w:line="22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针对瓦斯抽采矿井</w:t>
            </w:r>
          </w:p>
        </w:tc>
      </w:tr>
      <w:tr w14:paraId="43B7F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8"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FB9E5">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33B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32</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35C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抽采瓦斯系统及抽采达标工作</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531A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查图纸和现场。检查抽采瓦斯系统，符合《煤矿安全规程》第202、203、204、205条，以及《煤矿瓦斯抽采达标暂行规定》的规定</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735E3">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F8568">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5EC92">
            <w:pPr>
              <w:keepNext w:val="0"/>
              <w:keepLines w:val="0"/>
              <w:pageBreakBefore w:val="0"/>
              <w:widowControl/>
              <w:suppressLineNumbers w:val="0"/>
              <w:kinsoku/>
              <w:wordWrap/>
              <w:overflowPunct/>
              <w:topLinePunct w:val="0"/>
              <w:autoSpaceDE/>
              <w:autoSpaceDN/>
              <w:bidi w:val="0"/>
              <w:adjustRightInd/>
              <w:snapToGrid/>
              <w:spacing w:line="22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针对瓦斯抽采矿井</w:t>
            </w:r>
          </w:p>
        </w:tc>
      </w:tr>
      <w:tr w14:paraId="53B96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FACE3">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AA3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33</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1B9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使用金属抽采瓦斯管路</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CEFD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查现场。不得使用非金属抽采瓦斯管路，符合《GB50471-2018煤矿瓦斯抽采工程设计标准》</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2B380">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1E339">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4D635">
            <w:pPr>
              <w:keepNext w:val="0"/>
              <w:keepLines w:val="0"/>
              <w:pageBreakBefore w:val="0"/>
              <w:widowControl/>
              <w:suppressLineNumbers w:val="0"/>
              <w:kinsoku/>
              <w:wordWrap/>
              <w:overflowPunct/>
              <w:topLinePunct w:val="0"/>
              <w:autoSpaceDE/>
              <w:autoSpaceDN/>
              <w:bidi w:val="0"/>
              <w:adjustRightInd/>
              <w:snapToGrid/>
              <w:spacing w:line="22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针对瓦斯抽采矿井</w:t>
            </w:r>
          </w:p>
        </w:tc>
      </w:tr>
      <w:tr w14:paraId="78D1C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5F2B4">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A05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34</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394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spacing w:val="-6"/>
                <w:kern w:val="0"/>
                <w:sz w:val="20"/>
                <w:szCs w:val="20"/>
                <w:u w:val="none"/>
                <w:lang w:val="en-US" w:eastAsia="zh-CN" w:bidi="ar"/>
              </w:rPr>
              <w:t>两个“四位一体”综合防突措施</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6EE3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查资料和现场。检查区域、局部防突措施落实及防突效果达标的情况，符合《煤矿安全规程》和《防治煤与瓦斯突出细则》的规定</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4EA99">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F52BF">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F802F">
            <w:pPr>
              <w:keepNext w:val="0"/>
              <w:keepLines w:val="0"/>
              <w:pageBreakBefore w:val="0"/>
              <w:widowControl/>
              <w:suppressLineNumbers w:val="0"/>
              <w:kinsoku/>
              <w:wordWrap/>
              <w:overflowPunct/>
              <w:topLinePunct w:val="0"/>
              <w:autoSpaceDE/>
              <w:autoSpaceDN/>
              <w:bidi w:val="0"/>
              <w:adjustRightInd/>
              <w:snapToGrid/>
              <w:spacing w:line="22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针对煤与瓦斯突出矿井及按突出管理的矿井</w:t>
            </w:r>
          </w:p>
        </w:tc>
      </w:tr>
      <w:tr w14:paraId="59EC4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CAD1E">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822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35</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22E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防灭火管理</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D4B2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查资料和现场。检查防灭火专项设计，以及综合预防煤层自然发火措施的落实情况。煤层无自然发火现象</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E0A59">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26D53">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3996A">
            <w:pPr>
              <w:keepNext w:val="0"/>
              <w:keepLines w:val="0"/>
              <w:pageBreakBefore w:val="0"/>
              <w:widowControl/>
              <w:suppressLineNumbers w:val="0"/>
              <w:kinsoku/>
              <w:wordWrap/>
              <w:overflowPunct/>
              <w:topLinePunct w:val="0"/>
              <w:autoSpaceDE/>
              <w:autoSpaceDN/>
              <w:bidi w:val="0"/>
              <w:adjustRightInd/>
              <w:snapToGrid/>
              <w:spacing w:line="22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spacing w:val="-11"/>
                <w:kern w:val="0"/>
                <w:sz w:val="20"/>
                <w:szCs w:val="20"/>
                <w:u w:val="none"/>
                <w:lang w:val="en-US" w:eastAsia="zh-CN" w:bidi="ar"/>
              </w:rPr>
              <w:t>针对开采容易自燃和自燃煤层的矿井</w:t>
            </w:r>
          </w:p>
        </w:tc>
      </w:tr>
      <w:tr w14:paraId="43543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367BD">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99F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36</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30B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防尘供水系统</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0AD3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查资料和现场。检查防尘供水系统，符合《煤矿安全规程》规定，并能正常使用；检查防尘措施落实情况</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154B9">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C8E24">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A1916">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526F5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6143C">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4F4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37</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51C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安全监控系统</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1AB02">
            <w:pPr>
              <w:keepNext w:val="0"/>
              <w:keepLines w:val="0"/>
              <w:pageBreakBefore w:val="0"/>
              <w:widowControl/>
              <w:suppressLineNumbers w:val="0"/>
              <w:kinsoku/>
              <w:wordWrap/>
              <w:overflowPunct/>
              <w:topLinePunct w:val="0"/>
              <w:autoSpaceDE/>
              <w:autoSpaceDN/>
              <w:bidi w:val="0"/>
              <w:adjustRightInd/>
              <w:snapToGrid/>
              <w:spacing w:line="22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查资料和现场。检查安全监控系统的安装、使用、维护以及升级改造等情况，符合《煤矿安全规程》《煤矿安全监控系统及检测仪器使用管理规范》等规定</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EBA0A">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BD492">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A03F3">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4F3BB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C162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五、</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地测</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防治水</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37F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38</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E5E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生产地质报告</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C9F8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查报告。符合《煤矿地质工作细则》第83条的规定</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96544">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145BA">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57955">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66BD7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966F0">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C2C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39</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5EE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矿井水文地质类型</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140C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查报告。矿井水文地质类型划分符合《煤矿防治水细则》第12、13、14条的规定</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D2040">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0306A">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2664D">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27537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533A7">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92B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40</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BEE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水文地质图件</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8A54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查图纸。符合《煤矿防治水细则》第17条的规定</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8775F">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6FA54">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2711B">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36508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8F06F">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88D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41</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A62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矿井排水系统</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817D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查资料和现场。符合《煤矿防治水细则》第106—111条等规定</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8CF56">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2B25E">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D19B1">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1DB9A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D7172">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DFE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42</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7BB5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spacing w:val="-11"/>
                <w:kern w:val="0"/>
                <w:sz w:val="20"/>
                <w:szCs w:val="20"/>
                <w:u w:val="none"/>
                <w:lang w:val="en-US" w:eastAsia="zh-CN" w:bidi="ar"/>
              </w:rPr>
              <w:t>防治水专业技术人员、专用探放水设备、专门的探放水作业队伍</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284F5">
            <w:pPr>
              <w:keepNext w:val="0"/>
              <w:keepLines w:val="0"/>
              <w:pageBreakBefore w:val="0"/>
              <w:widowControl/>
              <w:suppressLineNumbers w:val="0"/>
              <w:kinsoku/>
              <w:wordWrap/>
              <w:overflowPunct/>
              <w:topLinePunct w:val="0"/>
              <w:autoSpaceDE/>
              <w:autoSpaceDN/>
              <w:bidi w:val="0"/>
              <w:adjustRightInd/>
              <w:snapToGrid/>
              <w:spacing w:line="22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查资料和现场。检查矿井的防治水专业技术人员，以及配齐专用探放水设备、建立专门的探放水作业队伍等情况</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48520">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BEF93">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8D826">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096B8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1"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D087C">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28A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43</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169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隐蔽致灾地质因素普查管理</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8AB4E">
            <w:pPr>
              <w:keepNext w:val="0"/>
              <w:keepLines w:val="0"/>
              <w:pageBreakBefore w:val="0"/>
              <w:widowControl/>
              <w:suppressLineNumbers w:val="0"/>
              <w:kinsoku/>
              <w:wordWrap/>
              <w:overflowPunct/>
              <w:topLinePunct w:val="0"/>
              <w:autoSpaceDE/>
              <w:autoSpaceDN/>
              <w:bidi w:val="0"/>
              <w:adjustRightInd/>
              <w:snapToGrid/>
              <w:spacing w:line="22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查资料和现场。检查隐蔽致灾地质因素普查报告和本年度的采掘作业计划范围内各项隐蔽致灾地质因素查明情况，以及隐蔽致灾地质因素治理工作开展情况，符合《煤矿地质工作细则》第20-36条规定</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C0F2D">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E0C29">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6C7E9">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04268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0F97DD">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1EA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44</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EFB4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执行“预测预报、探掘分离、有掘必探、先探后掘、先治后采”的防治水原则</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ACC4F">
            <w:pPr>
              <w:keepNext w:val="0"/>
              <w:keepLines w:val="0"/>
              <w:pageBreakBefore w:val="0"/>
              <w:widowControl/>
              <w:suppressLineNumbers w:val="0"/>
              <w:kinsoku/>
              <w:wordWrap/>
              <w:overflowPunct/>
              <w:topLinePunct w:val="0"/>
              <w:autoSpaceDE/>
              <w:autoSpaceDN/>
              <w:bidi w:val="0"/>
              <w:adjustRightInd/>
              <w:snapToGrid/>
              <w:spacing w:line="22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查资料和现场。检查防治水管理制度、采掘工作面探放水设计和安全技术措施、采掘工作面探放水痕迹、探放水记录，落实探掘分离、有掘必探的情况</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B99A4">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2CBE1">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9B78B">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48EBE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57433">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A77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45</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518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老空区积水管理</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6A05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查资料。检查针对老空区积水划定的“三线管理”,以及落实和完善预防性保障措施的情况。符合《煤矿防治水细则》第40、41、42、76-83条规定。</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DE03D">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DC995">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13BEA">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3C216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2E82F">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9B7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46</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2A6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分区管理</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1FAD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查资料。检查矿井可采区、缓采区、禁采区的划分情况。年度采掘作业计划必须在可采区进行</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5DBFA">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7FB12">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3EC11">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47770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F418A">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A63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47</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C69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带压开采管理</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86D1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查资料。检查带压开采专项设计和地质报告，以及对开采区域的安全分区，制订并采取针对性的安全措施等情况</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B74A3">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97975">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1A46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针对带压开采矿井</w:t>
            </w:r>
          </w:p>
        </w:tc>
      </w:tr>
      <w:tr w14:paraId="1880C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859C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六、</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机电</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运输</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F9C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48</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335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供配电系统</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1BF3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查资料和现场。检查两回路供电系统，井上下设备的供配电符合《煤矿安全规程》第472、473、474条的规定</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B3432">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41D80">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D4311">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46004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D4D07">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41C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49</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965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电气设备管理</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D570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查现场。电气设备的选型符合《煤矿安全规程》第477条的规定，保护装置符合《煤矿安全规程》第487条的规定，无失爆现象</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9A4D8">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4D8F7">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360DC">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3C518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24BC0">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7B4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50</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C44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主要设备管理</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1CC8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查资料。主副提升设备、重要用途钢丝绳、主要通风机、主排水泵及空气压缩机等主要设备的技术性能测试按规定周期进行测定，性能检测检验报告合格有效</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FCB0D">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B3E65">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667C1">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13A18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3"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5B328">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60F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51</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FF9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运送人员设备</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4F58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查现场。检查运送人员设备及各项保护，符合《煤矿安全规程》第417、418、419条、420、421、427条等规定；架空乘人装置性能检测检验报告合格有效</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14881">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84FB0">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94B47">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7D45A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96A9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六、</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机电</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运输</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3AE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52</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B2A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煤炭运输系统</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159C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查现场。井下煤炭运输设备符合《煤矿安全规程》的相关规定</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25F29">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1085B">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A677B">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3DE58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F3C04">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59D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53</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6A8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辅助运输系统</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7507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查现场。检查井下辅助运输设备及各项保护。倾斜井巷内使用串车提升时符合《煤矿安全规程》第422条的规定</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C3158">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0303B">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1B902">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04415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0"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BB8D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七、</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人员配备和培</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训考核</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32A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54</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93E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煤矿企业主要负责人和安全生产管理人员</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08AF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检查煤矿企业主要负责人和安全生产管理人员配备、培训和考试，以及取得安全生产知识和管理能力考核合格证的情况，任职条件符合中办国办《关于进一步加强矿山安全生产工作的意见》、国务院安委会《关于防范遏制矿山领域重特大生产安全事故的硬措施》《山西省进一步加强矿山安全生产工作措施》相关要求</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41E7E">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6967D">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88E6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自任职起6个月内通过安全生产知识和管理能力考核</w:t>
            </w:r>
          </w:p>
        </w:tc>
      </w:tr>
      <w:tr w14:paraId="21F28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450BF">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20F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55</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7D7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专业技术人员</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A409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查资料。检查煤矿专业技术人员的配备情况，能满足工作需要</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C295D">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66D5B">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2046F">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31EFD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4C835">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00A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56</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033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特种作业人员</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5978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查资料。检查特种作业人员持有《煤矿特种作业操作证》</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03AA7">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4D50F">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229C7">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0CF6D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EBE08">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78C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57</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0FA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其他从业人员</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DC15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查资料。检查其他从业人员的安全培训情况，达到《煤矿安全培训规定》要求</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78589">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33C42">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2DB19">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41D20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E0E7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八、</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应急</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救援</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087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58</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691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应急救援队伍</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CBDE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查资料和机构。按规定设立矿山救护队；未设立的要与就近的救护队签订救护协议，并设立兼职救护队</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880EB">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2898C">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0FD76">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6A2EF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49741">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ABC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59</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9AC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安全避险系统</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AB63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查资料和现场。检查煤矿井下监测监控、人员定位、紧急避险、压风自救、供水施救和通信联络等安全避险系统，以及日常维护记录</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C4276">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27099">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8E9DA">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4E1DB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2B21EB">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6B6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60</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427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救援物资储备</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18BB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查资料和现场。储备必要的救援物资、装备</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61032">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8A5B5">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4CFE4">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1D3AC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C6276">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7EC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61</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9E0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事故应急预案</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57BA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查资料。检查批准的年度矿井灾害预防和处理计划，以及事故应急预案，并核查上一年度的定期演练情况</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A0D48">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BA6C2">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FDA4">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71E60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4A135">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241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62</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80B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调度指挥机构</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29DB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查机构。检查设置的调度指挥部门，及岗位职责等情况，保证每天24小时专人值守，每班工作人员满足调度工作要求</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77132">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68EE2">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BE812">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4CB7B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3"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6076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九、</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安全</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风险</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分级</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管控</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08E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63</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493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工作机制</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6FFD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机构和资料。按照《煤矿安全生产标准化管理体系基本要求及评分方法(试行)》关于安全风险分级管控的要求，建立安全风险分级管控工作责任体系，明确负责安全风险分级管控工作的管理部门；建立安全风险分级管控工作制度，明确安全风险的辨识评估范围、方法和安全风险的辨识、评估、管控、公告、报告工作流程</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F6C75">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BDDEE">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39C7E">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1D681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6"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50245">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49E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64</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CAA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安全风险辨识评估</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41EF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查资料和现场。按照《煤矿安全生产标准化管理体系基本要求及评分方法(试行)》关于安全风险分级管控的要求，开展年度辨识评估和专项辨识评估</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D42C6">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0FA98">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508EC">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45B04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6CB87">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9C6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65</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DF9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安全风险管控</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65EB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查资料和现场。按照《煤矿安全生产标准化管理体系基本要求及评分方法(试行)》关于安全风险分级管控的要求，落实管控措施，开展定期检查和现场检查，并进行公告警示</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FF7DE">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92BAF">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27EB3">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30963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2315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九、</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安全</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风险</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分级</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管控</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7F6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66</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965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重大危险源管理</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FD38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查资料。检查矿井重大危险源评估报告，符合《安全生产法》第40条的规定，并按规定备案</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34E22">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16FC3">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CE71F">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5BB2E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C02DDE">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E12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67</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255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保障措施</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D50B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查资料。按照《煤矿安全生产标准化管理体系基本要求及评分方法(试行)》关于安全风险分级管控的要求，实行信息化管理，并加强人员教育培训</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791EA">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1E943">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7B363">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76931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001A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十、</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事故</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隐患</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排查</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D5B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68</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CD8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事故隐患排查治理制度</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F934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查制度。随机抽查一个季度煤矿企业执行事故隐患排查治理情况，以及向从业人员通报事故隐患排查治理等情况</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B9DE0">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3DBF1">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F3662">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023E7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1"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8321D">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401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69</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B99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事故隐患排查情况</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A29F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查现场。无《煤矿安全生产条例》第三十六条所列情形</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877BE">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C8C75">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13FB2">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2FC71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6D8E0">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972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70</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EF6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重大事故隐患验收销号</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5963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查资料。检查重大事故隐患的治理方案、督办通知、治理时限、动态检查、验收销号、公示公告和行政处罚等情况</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27690">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846E0">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9AA7E">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48DDA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0FE2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spacing w:val="-11"/>
                <w:kern w:val="0"/>
                <w:sz w:val="20"/>
                <w:szCs w:val="20"/>
                <w:u w:val="none"/>
                <w:lang w:val="en-US" w:eastAsia="zh-CN" w:bidi="ar"/>
              </w:rPr>
              <w:t>十一、</w:t>
            </w:r>
            <w:r>
              <w:rPr>
                <w:rFonts w:hint="eastAsia" w:ascii="仿宋_GB2312" w:hAnsi="Tahoma" w:eastAsia="仿宋_GB2312" w:cs="仿宋_GB2312"/>
                <w:i w:val="0"/>
                <w:iCs w:val="0"/>
                <w:color w:val="000000"/>
                <w:kern w:val="0"/>
                <w:sz w:val="20"/>
                <w:szCs w:val="20"/>
                <w:u w:val="none"/>
                <w:lang w:val="en-US" w:eastAsia="zh-CN" w:bidi="ar"/>
              </w:rPr>
              <w:t>停产</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及整</w:t>
            </w:r>
            <w:r>
              <w:rPr>
                <w:rFonts w:hint="eastAsia" w:ascii="仿宋_GB2312" w:hAnsi="Tahoma" w:eastAsia="仿宋_GB2312" w:cs="仿宋_GB2312"/>
                <w:i w:val="0"/>
                <w:iCs w:val="0"/>
                <w:color w:val="000000"/>
                <w:kern w:val="0"/>
                <w:sz w:val="20"/>
                <w:szCs w:val="20"/>
                <w:u w:val="none"/>
                <w:lang w:val="en-US" w:eastAsia="zh-CN" w:bidi="ar"/>
              </w:rPr>
              <w:br w:type="textWrapping"/>
            </w:r>
            <w:r>
              <w:rPr>
                <w:rFonts w:hint="eastAsia" w:ascii="仿宋_GB2312" w:hAnsi="Tahoma" w:eastAsia="仿宋_GB2312" w:cs="仿宋_GB2312"/>
                <w:i w:val="0"/>
                <w:iCs w:val="0"/>
                <w:color w:val="000000"/>
                <w:kern w:val="0"/>
                <w:sz w:val="20"/>
                <w:szCs w:val="20"/>
                <w:u w:val="none"/>
                <w:lang w:val="en-US" w:eastAsia="zh-CN" w:bidi="ar"/>
              </w:rPr>
              <w:t>顿</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EB6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71</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68C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停产报告制度</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7B2B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查资料。按《山西省煤矿复工复产验收管理办法》的规定落实停产报告</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29165">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5E1C2">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D56DE">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27D2C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5D121">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8CD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72</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524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停产措施落实</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F56F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查资料和现场。按《山西省煤矿复工复产验收管理办法》的规定落实停产措施</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99193">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DB112">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79179">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71813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1B0DB">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218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73</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B88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事故煤矿整顿期限</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C084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查文件或文书。检查下达的停产整顿指令，达到规定的整顿期限</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36262">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A2B65">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BD9F4">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7D92A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6"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56B94">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71C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74</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D32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复产整顿情况</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5E1D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查资料和现场。检查批准的整顿方案，在限定的整顿时间内，由煤矿主要负责人组织并完成全面整顿；检查整顿期间用电量等，核查有无生产作业行为</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3E637">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80E29">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23309">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1A0A5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6F384">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90E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75</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9D0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组织职工进行安全教育和培训</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EB4E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查资料。检查复产前对职工的安全教育和培训情况，随机询问职工培训内容</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DBCC0">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5AD9E">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1F6DD">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28B0F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FD9BC">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D52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76</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ADE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煤矿自验情况</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4794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查资料。检查煤矿按照《山西省煤矿复工复产验收基本条件(试行)》自行验收并合格等情况</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D5204">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A5390">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EC11D">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04BE2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4"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2555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spacing w:val="-11"/>
                <w:kern w:val="0"/>
                <w:sz w:val="20"/>
                <w:szCs w:val="20"/>
                <w:u w:val="none"/>
                <w:lang w:val="en-US" w:eastAsia="zh-CN" w:bidi="ar"/>
              </w:rPr>
              <w:t>十二、</w:t>
            </w:r>
            <w:r>
              <w:rPr>
                <w:rFonts w:hint="eastAsia" w:ascii="仿宋_GB2312" w:hAnsi="Tahoma" w:eastAsia="仿宋_GB2312" w:cs="仿宋_GB2312"/>
                <w:i w:val="0"/>
                <w:iCs w:val="0"/>
                <w:color w:val="000000"/>
                <w:kern w:val="0"/>
                <w:sz w:val="20"/>
                <w:szCs w:val="20"/>
                <w:u w:val="none"/>
                <w:lang w:val="en-US" w:eastAsia="zh-CN" w:bidi="ar"/>
              </w:rPr>
              <w:t>其他</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7CD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77</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B05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上级文件贯彻落实情况</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76C8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查资料和现场。《长治市应急管理局国家矿山安全监察局山西局监察执法八处关于印发全市煤矿安全突出风险隐患排查整治方案》（长应急发</w:t>
            </w:r>
            <w:r>
              <w:rPr>
                <w:rFonts w:hint="eastAsia" w:ascii="仿宋_GB2312" w:hAnsi="仿宋_GB2312" w:eastAsia="仿宋_GB2312" w:cs="仿宋_GB2312"/>
                <w:i w:val="0"/>
                <w:iCs w:val="0"/>
                <w:color w:val="000000"/>
                <w:kern w:val="0"/>
                <w:sz w:val="20"/>
                <w:szCs w:val="20"/>
                <w:u w:val="none"/>
                <w:lang w:val="en-US" w:eastAsia="zh-CN" w:bidi="ar"/>
              </w:rPr>
              <w:t>〔</w:t>
            </w:r>
            <w:r>
              <w:rPr>
                <w:rFonts w:hint="eastAsia" w:ascii="仿宋_GB2312" w:hAnsi="Tahoma" w:eastAsia="仿宋_GB2312" w:cs="仿宋_GB2312"/>
                <w:i w:val="0"/>
                <w:iCs w:val="0"/>
                <w:color w:val="000000"/>
                <w:kern w:val="0"/>
                <w:sz w:val="20"/>
                <w:szCs w:val="20"/>
                <w:u w:val="none"/>
                <w:lang w:val="en-US" w:eastAsia="zh-CN" w:bidi="ar"/>
              </w:rPr>
              <w:t>2025</w:t>
            </w:r>
            <w:r>
              <w:rPr>
                <w:rFonts w:hint="eastAsia" w:ascii="仿宋_GB2312" w:hAnsi="仿宋_GB2312" w:eastAsia="仿宋_GB2312" w:cs="仿宋_GB2312"/>
                <w:i w:val="0"/>
                <w:iCs w:val="0"/>
                <w:color w:val="000000"/>
                <w:kern w:val="0"/>
                <w:sz w:val="20"/>
                <w:szCs w:val="20"/>
                <w:u w:val="none"/>
                <w:lang w:val="en-US" w:eastAsia="zh-CN" w:bidi="ar"/>
              </w:rPr>
              <w:t>〕</w:t>
            </w:r>
            <w:r>
              <w:rPr>
                <w:rFonts w:hint="eastAsia" w:ascii="仿宋_GB2312" w:hAnsi="Tahoma" w:eastAsia="仿宋_GB2312" w:cs="仿宋_GB2312"/>
                <w:i w:val="0"/>
                <w:iCs w:val="0"/>
                <w:color w:val="000000"/>
                <w:kern w:val="0"/>
                <w:sz w:val="20"/>
                <w:szCs w:val="20"/>
                <w:u w:val="none"/>
                <w:lang w:val="en-US" w:eastAsia="zh-CN" w:bidi="ar"/>
              </w:rPr>
              <w:t>75号）、《煤矿安全生产15条措施》、《强化全市煤矿夜班作业跟班的通知》等落实情况</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7B1DC8">
            <w:pPr>
              <w:keepNext w:val="0"/>
              <w:keepLines w:val="0"/>
              <w:pageBreakBefore w:val="0"/>
              <w:widowControl/>
              <w:kinsoku/>
              <w:wordWrap/>
              <w:overflowPunct/>
              <w:topLinePunct w:val="0"/>
              <w:autoSpaceDE/>
              <w:autoSpaceDN/>
              <w:bidi w:val="0"/>
              <w:adjustRightInd/>
              <w:snapToGrid/>
              <w:spacing w:line="240" w:lineRule="exac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C56B8">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EEBCC5">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r w14:paraId="353E8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ECC4E">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128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78</w:t>
            </w:r>
          </w:p>
        </w:tc>
        <w:tc>
          <w:tcPr>
            <w:tcW w:w="2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E83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Tahoma" w:eastAsia="仿宋_GB2312" w:cs="仿宋_GB2312"/>
                <w:i w:val="0"/>
                <w:iCs w:val="0"/>
                <w:color w:val="000000"/>
                <w:sz w:val="20"/>
                <w:szCs w:val="20"/>
                <w:u w:val="none"/>
              </w:rPr>
            </w:pPr>
            <w:r>
              <w:rPr>
                <w:rFonts w:hint="eastAsia" w:ascii="仿宋_GB2312" w:hAnsi="Tahoma" w:eastAsia="仿宋_GB2312" w:cs="仿宋_GB2312"/>
                <w:i w:val="0"/>
                <w:iCs w:val="0"/>
                <w:color w:val="000000"/>
                <w:kern w:val="0"/>
                <w:sz w:val="20"/>
                <w:szCs w:val="20"/>
                <w:u w:val="none"/>
                <w:lang w:val="en-US" w:eastAsia="zh-CN" w:bidi="ar"/>
              </w:rPr>
              <w:t>煤矿企业人员考试</w:t>
            </w:r>
          </w:p>
        </w:tc>
        <w:tc>
          <w:tcPr>
            <w:tcW w:w="6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4B59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Tahoma" w:eastAsia="仿宋_GB2312" w:cs="仿宋_GB2312"/>
                <w:i w:val="0"/>
                <w:iCs w:val="0"/>
                <w:color w:val="000000"/>
                <w:sz w:val="20"/>
                <w:szCs w:val="20"/>
                <w:u w:val="none"/>
              </w:rPr>
            </w:pPr>
            <w:r>
              <w:rPr>
                <w:rStyle w:val="15"/>
                <w:rFonts w:hAnsi="Tahoma"/>
                <w:lang w:val="en-US" w:eastAsia="zh-CN" w:bidi="ar"/>
              </w:rPr>
              <w:t>随机抽取各煤矿企业经培训考试合格的人员进行考试，</w:t>
            </w:r>
            <w:r>
              <w:rPr>
                <w:rStyle w:val="16"/>
                <w:rFonts w:hAnsi="Tahoma"/>
                <w:lang w:val="en-US" w:eastAsia="zh-CN" w:bidi="ar"/>
              </w:rPr>
              <w:t>考试成绩为百分制，80分及格</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E16F30">
            <w:pPr>
              <w:keepNext w:val="0"/>
              <w:keepLines w:val="0"/>
              <w:pageBreakBefore w:val="0"/>
              <w:widowControl/>
              <w:kinsoku/>
              <w:wordWrap/>
              <w:overflowPunct/>
              <w:topLinePunct w:val="0"/>
              <w:autoSpaceDE/>
              <w:autoSpaceDN/>
              <w:bidi w:val="0"/>
              <w:adjustRightInd/>
              <w:snapToGrid/>
              <w:spacing w:line="240" w:lineRule="exact"/>
              <w:rPr>
                <w:rFonts w:hint="eastAsia" w:ascii="仿宋_GB2312" w:hAnsi="Tahoma" w:eastAsia="仿宋_GB2312" w:cs="仿宋_GB2312"/>
                <w:i w:val="0"/>
                <w:iCs w:val="0"/>
                <w:color w:val="000000"/>
                <w:sz w:val="20"/>
                <w:szCs w:val="20"/>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25C17">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_GB2312" w:hAnsi="Tahoma" w:eastAsia="仿宋_GB2312" w:cs="仿宋_GB2312"/>
                <w:i w:val="0"/>
                <w:iCs w:val="0"/>
                <w:color w:val="000000"/>
                <w:sz w:val="20"/>
                <w:szCs w:val="20"/>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4BDC20">
            <w:pPr>
              <w:keepNext w:val="0"/>
              <w:keepLines w:val="0"/>
              <w:pageBreakBefore w:val="0"/>
              <w:widowControl/>
              <w:kinsoku/>
              <w:wordWrap/>
              <w:overflowPunct/>
              <w:topLinePunct w:val="0"/>
              <w:autoSpaceDE/>
              <w:autoSpaceDN/>
              <w:bidi w:val="0"/>
              <w:adjustRightInd/>
              <w:snapToGrid/>
              <w:spacing w:line="240" w:lineRule="exact"/>
              <w:jc w:val="left"/>
              <w:rPr>
                <w:rFonts w:hint="eastAsia" w:ascii="仿宋_GB2312" w:hAnsi="Tahoma" w:eastAsia="仿宋_GB2312" w:cs="仿宋_GB2312"/>
                <w:i w:val="0"/>
                <w:iCs w:val="0"/>
                <w:color w:val="000000"/>
                <w:sz w:val="20"/>
                <w:szCs w:val="20"/>
                <w:u w:val="none"/>
              </w:rPr>
            </w:pPr>
          </w:p>
        </w:tc>
      </w:tr>
    </w:tbl>
    <w:p w14:paraId="1E237CA8">
      <w:pPr>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仿宋_GB2312" w:eastAsia="仿宋_GB2312" w:cs="仿宋_GB2312"/>
          <w:sz w:val="24"/>
          <w:lang w:val="en-US" w:eastAsia="zh-CN"/>
        </w:rPr>
      </w:pPr>
    </w:p>
    <w:sectPr>
      <w:footerReference r:id="rId3" w:type="default"/>
      <w:pgSz w:w="16838" w:h="11906" w:orient="landscape"/>
      <w:pgMar w:top="1531" w:right="1928" w:bottom="1531" w:left="1757" w:header="851" w:footer="1474"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14D3021-BE6E-45EA-8C34-3ECB625F99E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2" w:fontKey="{415973B2-7B80-43C2-8427-D4550DD73D4A}"/>
  </w:font>
  <w:font w:name="方正小标宋简体">
    <w:panose1 w:val="03000509000000000000"/>
    <w:charset w:val="86"/>
    <w:family w:val="auto"/>
    <w:pitch w:val="default"/>
    <w:sig w:usb0="00000001" w:usb1="080E0000" w:usb2="00000000" w:usb3="00000000" w:csb0="00040000" w:csb1="00000000"/>
    <w:embedRegular r:id="rId3" w:fontKey="{9414F1AA-5C63-4981-B399-13CF910D6B9D}"/>
  </w:font>
  <w:font w:name="方正楷体_GB2312">
    <w:panose1 w:val="02000000000000000000"/>
    <w:charset w:val="86"/>
    <w:family w:val="auto"/>
    <w:pitch w:val="default"/>
    <w:sig w:usb0="A00002BF" w:usb1="184F6CFA" w:usb2="00000012" w:usb3="00000000" w:csb0="00040001" w:csb1="00000000"/>
  </w:font>
  <w:font w:name="方正仿宋_GB2312">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embedRegular r:id="rId4" w:fontKey="{E6C03355-A6BB-4860-A9AD-99BBBF2306C3}"/>
  </w:font>
  <w:font w:name="WPSEMBED1">
    <w:panose1 w:val="02000000000000000000"/>
    <w:charset w:val="86"/>
    <w:family w:val="auto"/>
    <w:pitch w:val="default"/>
    <w:sig w:usb0="A00002BF" w:usb1="184F6CFA" w:usb2="00000012" w:usb3="00000000" w:csb0="00040001" w:csb1="00000000"/>
  </w:font>
  <w:font w:name="WPSEMBED2">
    <w:panose1 w:val="02000000000000000000"/>
    <w:charset w:val="86"/>
    <w:family w:val="auto"/>
    <w:pitch w:val="default"/>
    <w:sig w:usb0="A00002BF" w:usb1="184F6CFA" w:usb2="00000012" w:usb3="00000000" w:csb0="00040001" w:csb1="00000000"/>
  </w:font>
  <w:font w:name="WPSEMBED3">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3785D">
    <w:pPr>
      <w:spacing w:line="232" w:lineRule="auto"/>
      <w:ind w:left="6354"/>
      <w:rPr>
        <w:rFonts w:ascii="宋体" w:hAnsi="宋体" w:eastAsia="宋体" w:cs="宋体"/>
        <w:sz w:val="26"/>
        <w:szCs w:val="26"/>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6364C4"/>
    <w:rsid w:val="013D501C"/>
    <w:rsid w:val="0B3A4FE2"/>
    <w:rsid w:val="0DD40EBD"/>
    <w:rsid w:val="0E7C659C"/>
    <w:rsid w:val="0F2B63F2"/>
    <w:rsid w:val="0FC31E81"/>
    <w:rsid w:val="11DD56E2"/>
    <w:rsid w:val="12685D35"/>
    <w:rsid w:val="1A6364C4"/>
    <w:rsid w:val="1B496735"/>
    <w:rsid w:val="1B6F4B3D"/>
    <w:rsid w:val="1D5277E1"/>
    <w:rsid w:val="1E324D9F"/>
    <w:rsid w:val="203647FC"/>
    <w:rsid w:val="20426025"/>
    <w:rsid w:val="2A4A51BE"/>
    <w:rsid w:val="2CE25F87"/>
    <w:rsid w:val="2DDA6533"/>
    <w:rsid w:val="2F162FE9"/>
    <w:rsid w:val="2F1D79A9"/>
    <w:rsid w:val="362C24D2"/>
    <w:rsid w:val="37C91FA2"/>
    <w:rsid w:val="39C56ADD"/>
    <w:rsid w:val="3C5A4264"/>
    <w:rsid w:val="3E1F757A"/>
    <w:rsid w:val="3E583761"/>
    <w:rsid w:val="40FE35C6"/>
    <w:rsid w:val="433E768C"/>
    <w:rsid w:val="44253167"/>
    <w:rsid w:val="444904B0"/>
    <w:rsid w:val="45D83EAA"/>
    <w:rsid w:val="470D614A"/>
    <w:rsid w:val="47EF0E5F"/>
    <w:rsid w:val="49097E03"/>
    <w:rsid w:val="4AD4180B"/>
    <w:rsid w:val="4B8244EA"/>
    <w:rsid w:val="4D910B7E"/>
    <w:rsid w:val="505A5A36"/>
    <w:rsid w:val="515B3458"/>
    <w:rsid w:val="58161499"/>
    <w:rsid w:val="5E7010E9"/>
    <w:rsid w:val="5ED1157A"/>
    <w:rsid w:val="60D44F72"/>
    <w:rsid w:val="641E115C"/>
    <w:rsid w:val="64C83581"/>
    <w:rsid w:val="69C016BE"/>
    <w:rsid w:val="6B7412F4"/>
    <w:rsid w:val="722036F1"/>
    <w:rsid w:val="72E53190"/>
    <w:rsid w:val="73D47729"/>
    <w:rsid w:val="7611272F"/>
    <w:rsid w:val="7728448C"/>
    <w:rsid w:val="78585335"/>
    <w:rsid w:val="796378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Indent"/>
    <w:basedOn w:val="1"/>
    <w:next w:val="5"/>
    <w:qFormat/>
    <w:uiPriority w:val="0"/>
    <w:pPr>
      <w:spacing w:after="120"/>
      <w:ind w:left="420" w:leftChars="200"/>
    </w:pPr>
    <w:rPr>
      <w:rFonts w:ascii="Calibri" w:hAnsi="Calibri"/>
      <w:sz w:val="21"/>
      <w:szCs w:val="22"/>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Date"/>
    <w:basedOn w:val="1"/>
    <w:next w:val="1"/>
    <w:qFormat/>
    <w:uiPriority w:val="99"/>
    <w:pPr>
      <w:ind w:left="100" w:firstLine="3584"/>
    </w:pPr>
  </w:style>
  <w:style w:type="paragraph" w:styleId="7">
    <w:name w:val="Body Text Indent 2"/>
    <w:basedOn w:val="1"/>
    <w:next w:val="8"/>
    <w:qFormat/>
    <w:uiPriority w:val="99"/>
    <w:pPr>
      <w:ind w:firstLine="883"/>
    </w:pPr>
    <w:rPr>
      <w:rFonts w:ascii="仿宋" w:hAnsi="仿宋" w:cs="仿宋"/>
      <w:szCs w:val="32"/>
    </w:rPr>
  </w:style>
  <w:style w:type="paragraph" w:styleId="8">
    <w:name w:val="Body Text First Indent 2"/>
    <w:basedOn w:val="4"/>
    <w:next w:val="6"/>
    <w:qFormat/>
    <w:uiPriority w:val="99"/>
    <w:pPr>
      <w:ind w:firstLine="420" w:firstLineChars="200"/>
    </w:pPr>
  </w:style>
  <w:style w:type="paragraph" w:styleId="9">
    <w:name w:val="footer"/>
    <w:basedOn w:val="1"/>
    <w:qFormat/>
    <w:uiPriority w:val="0"/>
    <w:pPr>
      <w:tabs>
        <w:tab w:val="center" w:pos="4153"/>
        <w:tab w:val="right" w:pos="8306"/>
      </w:tabs>
      <w:snapToGrid w:val="0"/>
      <w:jc w:val="left"/>
    </w:pPr>
    <w:rPr>
      <w:sz w:val="18"/>
    </w:rPr>
  </w:style>
  <w:style w:type="paragraph" w:styleId="10">
    <w:name w:val="Normal (Web)"/>
    <w:basedOn w:val="1"/>
    <w:qFormat/>
    <w:uiPriority w:val="0"/>
    <w:rPr>
      <w:sz w:val="24"/>
    </w:rPr>
  </w:style>
  <w:style w:type="table" w:styleId="12">
    <w:name w:val="Table Grid"/>
    <w:basedOn w:val="11"/>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customStyle="1" w:styleId="15">
    <w:name w:val="font51"/>
    <w:basedOn w:val="13"/>
    <w:qFormat/>
    <w:uiPriority w:val="0"/>
    <w:rPr>
      <w:rFonts w:hint="eastAsia" w:ascii="仿宋_GB2312" w:eastAsia="仿宋_GB2312" w:cs="仿宋_GB2312"/>
      <w:color w:val="000000"/>
      <w:sz w:val="20"/>
      <w:szCs w:val="20"/>
      <w:u w:val="none"/>
    </w:rPr>
  </w:style>
  <w:style w:type="character" w:customStyle="1" w:styleId="16">
    <w:name w:val="font41"/>
    <w:basedOn w:val="13"/>
    <w:qFormat/>
    <w:uiPriority w:val="0"/>
    <w:rPr>
      <w:rFonts w:hint="eastAsia" w:ascii="仿宋_GB2312" w:eastAsia="仿宋_GB2312" w:cs="仿宋_GB2312"/>
      <w:color w:val="000000"/>
      <w:sz w:val="20"/>
      <w:szCs w:val="20"/>
      <w:u w:val="none"/>
    </w:rPr>
  </w:style>
  <w:style w:type="character" w:customStyle="1" w:styleId="17">
    <w:name w:val="font61"/>
    <w:basedOn w:val="13"/>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7b056093-1bb7-4622-86ae-633f7d42447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3918</Words>
  <Characters>3979</Characters>
  <Lines>0</Lines>
  <Paragraphs>0</Paragraphs>
  <TotalTime>1506</TotalTime>
  <ScaleCrop>false</ScaleCrop>
  <LinksUpToDate>false</LinksUpToDate>
  <CharactersWithSpaces>3997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2026-05-31T14:03:00Z</dcterms:created>
  <dc:creator>锣鼓喧天鞭炮齐鸣红旗招展人山人海</dc:creator>
  <cp:lastModifiedBy>JQ</cp:lastModifiedBy>
  <cp:lastPrinted>2026-06-10T09:05:00Z</cp:lastPrinted>
  <dcterms:modified xsi:type="dcterms:W3CDTF">2026-07-31T09:21:16Z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5843166439EE4D1F9973674DB07A0CF9_13</vt:lpwstr>
  </property>
  <property fmtid="{D5CDD505-2E9C-101B-9397-08002B2CF9AE}" pid="4" name="KSOTemplateDocerSaveRecord">
    <vt:lpwstr>eyJoZGlkIjoiNjRjZGU1NWRhOTIzYmMwYTNhMGVlNTllZjhjMDk2M2IiLCJ1c2VySWQiOiI4OTY2MTczMzMifQ==</vt:lpwstr>
  </property>
</Properties>
</file>