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534E" w:rsidRDefault="009F534E">
      <w:pPr>
        <w:spacing w:line="480" w:lineRule="auto"/>
        <w:ind w:firstLineChars="0" w:firstLine="0"/>
        <w:jc w:val="center"/>
        <w:rPr>
          <w:rFonts w:ascii="黑体" w:eastAsia="黑体" w:hAnsi="黑体"/>
          <w:spacing w:val="80"/>
          <w:sz w:val="44"/>
          <w:szCs w:val="44"/>
        </w:rPr>
      </w:pPr>
    </w:p>
    <w:p w:rsidR="009F534E" w:rsidRDefault="009F534E">
      <w:pPr>
        <w:spacing w:line="480" w:lineRule="auto"/>
        <w:ind w:firstLineChars="0" w:firstLine="0"/>
        <w:jc w:val="center"/>
        <w:rPr>
          <w:rFonts w:ascii="黑体" w:eastAsia="黑体" w:hAnsi="黑体"/>
          <w:spacing w:val="80"/>
          <w:sz w:val="44"/>
          <w:szCs w:val="44"/>
        </w:rPr>
      </w:pPr>
    </w:p>
    <w:p w:rsidR="009F534E" w:rsidRDefault="00E64051">
      <w:pPr>
        <w:spacing w:line="480" w:lineRule="auto"/>
        <w:ind w:firstLineChars="0" w:firstLine="0"/>
        <w:jc w:val="center"/>
        <w:rPr>
          <w:rFonts w:ascii="黑体" w:eastAsia="黑体" w:hAnsi="黑体"/>
          <w:spacing w:val="80"/>
          <w:sz w:val="44"/>
          <w:szCs w:val="44"/>
        </w:rPr>
      </w:pPr>
      <w:r>
        <w:rPr>
          <w:rFonts w:ascii="黑体" w:eastAsia="黑体" w:hAnsi="黑体" w:hint="eastAsia"/>
          <w:spacing w:val="80"/>
          <w:sz w:val="44"/>
          <w:szCs w:val="44"/>
        </w:rPr>
        <w:t>沁源县县城东片区控制性详细规划调整论证报告</w:t>
      </w:r>
    </w:p>
    <w:p w:rsidR="009F534E" w:rsidRPr="00E72F60" w:rsidRDefault="009F534E" w:rsidP="006C6AAE">
      <w:pPr>
        <w:ind w:right="200" w:firstLine="200"/>
        <w:outlineLvl w:val="0"/>
        <w:rPr>
          <w:rFonts w:ascii="黑体" w:eastAsia="黑体" w:hAnsi="宋体"/>
          <w:sz w:val="10"/>
          <w:szCs w:val="10"/>
        </w:rPr>
      </w:pPr>
    </w:p>
    <w:p w:rsidR="009F534E" w:rsidRDefault="00E64051" w:rsidP="006C6AAE">
      <w:pPr>
        <w:spacing w:line="480" w:lineRule="auto"/>
        <w:ind w:firstLine="640"/>
        <w:jc w:val="center"/>
        <w:outlineLvl w:val="0"/>
        <w:rPr>
          <w:rFonts w:ascii="宋体" w:hAnsi="宋体"/>
          <w:sz w:val="32"/>
          <w:szCs w:val="32"/>
        </w:rPr>
      </w:pPr>
      <w:bookmarkStart w:id="0" w:name="_Toc22274"/>
      <w:r>
        <w:rPr>
          <w:rFonts w:ascii="宋体" w:hAnsi="宋体" w:hint="eastAsia"/>
          <w:sz w:val="32"/>
          <w:szCs w:val="32"/>
        </w:rPr>
        <w:t>——B单元</w:t>
      </w:r>
      <w:r>
        <w:rPr>
          <w:rFonts w:hint="eastAsia"/>
          <w:sz w:val="32"/>
          <w:szCs w:val="32"/>
        </w:rPr>
        <w:t>B-30-01-01</w:t>
      </w:r>
      <w:r>
        <w:rPr>
          <w:rFonts w:ascii="宋体" w:hAnsi="宋体" w:hint="eastAsia"/>
          <w:sz w:val="32"/>
          <w:szCs w:val="32"/>
        </w:rPr>
        <w:t>地块调整论证报告</w:t>
      </w:r>
      <w:bookmarkEnd w:id="0"/>
    </w:p>
    <w:p w:rsidR="009F534E" w:rsidRDefault="00E64051" w:rsidP="006C6AAE">
      <w:pPr>
        <w:ind w:firstLine="640"/>
        <w:jc w:val="center"/>
        <w:rPr>
          <w:rFonts w:ascii="宋体" w:hAnsi="宋体"/>
          <w:sz w:val="32"/>
          <w:szCs w:val="32"/>
        </w:rPr>
      </w:pPr>
      <w:r>
        <w:rPr>
          <w:rFonts w:ascii="宋体" w:hAnsi="宋体" w:hint="eastAsia"/>
          <w:sz w:val="32"/>
          <w:szCs w:val="32"/>
        </w:rPr>
        <w:t>（评审稿）</w:t>
      </w:r>
    </w:p>
    <w:p w:rsidR="009F534E" w:rsidRDefault="009F534E" w:rsidP="006C6AAE">
      <w:pPr>
        <w:ind w:firstLine="880"/>
        <w:jc w:val="center"/>
        <w:rPr>
          <w:rFonts w:ascii="宋体" w:hAnsi="宋体"/>
          <w:sz w:val="44"/>
          <w:szCs w:val="44"/>
        </w:rPr>
      </w:pPr>
    </w:p>
    <w:p w:rsidR="009F534E" w:rsidRDefault="009F534E" w:rsidP="006C6AAE">
      <w:pPr>
        <w:ind w:firstLine="880"/>
        <w:jc w:val="center"/>
        <w:rPr>
          <w:rFonts w:ascii="宋体" w:hAnsi="宋体"/>
          <w:sz w:val="44"/>
          <w:szCs w:val="44"/>
        </w:rPr>
      </w:pPr>
    </w:p>
    <w:p w:rsidR="009F534E" w:rsidRDefault="009F534E" w:rsidP="006C6AAE">
      <w:pPr>
        <w:ind w:firstLine="560"/>
        <w:jc w:val="center"/>
        <w:rPr>
          <w:rFonts w:ascii="宋体" w:hAnsi="宋体"/>
          <w:szCs w:val="28"/>
        </w:rPr>
      </w:pPr>
    </w:p>
    <w:p w:rsidR="009F534E" w:rsidRDefault="009F534E" w:rsidP="006C6AAE">
      <w:pPr>
        <w:ind w:firstLine="560"/>
        <w:jc w:val="center"/>
        <w:rPr>
          <w:rFonts w:ascii="宋体" w:hAnsi="宋体"/>
          <w:szCs w:val="28"/>
        </w:rPr>
      </w:pPr>
    </w:p>
    <w:p w:rsidR="009F534E" w:rsidRDefault="009F534E">
      <w:pPr>
        <w:ind w:firstLineChars="0" w:firstLine="0"/>
        <w:jc w:val="center"/>
        <w:rPr>
          <w:rFonts w:ascii="宋体" w:hAnsi="宋体"/>
          <w:szCs w:val="28"/>
        </w:rPr>
      </w:pPr>
    </w:p>
    <w:p w:rsidR="009F534E" w:rsidRDefault="009F534E">
      <w:pPr>
        <w:ind w:firstLineChars="0" w:firstLine="0"/>
        <w:jc w:val="center"/>
        <w:rPr>
          <w:rFonts w:ascii="宋体" w:hAnsi="宋体"/>
          <w:szCs w:val="28"/>
        </w:rPr>
      </w:pPr>
    </w:p>
    <w:p w:rsidR="009F534E" w:rsidRDefault="009F534E" w:rsidP="006C6AAE">
      <w:pPr>
        <w:ind w:firstLine="560"/>
        <w:jc w:val="center"/>
        <w:rPr>
          <w:rFonts w:ascii="宋体" w:hAnsi="宋体"/>
          <w:szCs w:val="28"/>
        </w:rPr>
      </w:pPr>
    </w:p>
    <w:p w:rsidR="009F534E" w:rsidRDefault="009F534E" w:rsidP="006C6AAE">
      <w:pPr>
        <w:ind w:firstLine="560"/>
        <w:jc w:val="center"/>
        <w:rPr>
          <w:rFonts w:ascii="宋体" w:hAnsi="宋体"/>
          <w:szCs w:val="28"/>
        </w:rPr>
      </w:pPr>
    </w:p>
    <w:p w:rsidR="009F534E" w:rsidRDefault="009F534E" w:rsidP="006C6AAE">
      <w:pPr>
        <w:ind w:firstLine="560"/>
        <w:jc w:val="center"/>
        <w:rPr>
          <w:rFonts w:ascii="宋体" w:hAnsi="宋体"/>
          <w:szCs w:val="28"/>
        </w:rPr>
      </w:pPr>
    </w:p>
    <w:p w:rsidR="006C6AAE" w:rsidRDefault="006C6AAE" w:rsidP="006C6AAE">
      <w:pPr>
        <w:ind w:firstLine="560"/>
        <w:jc w:val="center"/>
        <w:rPr>
          <w:rFonts w:ascii="宋体" w:hAnsi="宋体"/>
          <w:szCs w:val="28"/>
        </w:rPr>
      </w:pPr>
    </w:p>
    <w:p w:rsidR="006C6AAE" w:rsidRDefault="006C6AAE" w:rsidP="006C6AAE">
      <w:pPr>
        <w:ind w:firstLine="560"/>
        <w:jc w:val="center"/>
        <w:rPr>
          <w:rFonts w:ascii="宋体" w:hAnsi="宋体"/>
          <w:szCs w:val="28"/>
        </w:rPr>
      </w:pPr>
    </w:p>
    <w:p w:rsidR="006C6AAE" w:rsidRDefault="006C6AAE" w:rsidP="006C6AAE">
      <w:pPr>
        <w:ind w:firstLine="560"/>
        <w:jc w:val="center"/>
        <w:rPr>
          <w:rFonts w:ascii="宋体" w:hAnsi="宋体"/>
          <w:szCs w:val="28"/>
        </w:rPr>
      </w:pPr>
    </w:p>
    <w:p w:rsidR="009F534E" w:rsidRDefault="009F534E" w:rsidP="006C6AAE">
      <w:pPr>
        <w:ind w:firstLine="880"/>
        <w:jc w:val="center"/>
        <w:rPr>
          <w:rFonts w:ascii="宋体" w:hAnsi="宋体"/>
          <w:sz w:val="44"/>
          <w:szCs w:val="44"/>
        </w:rPr>
      </w:pPr>
    </w:p>
    <w:p w:rsidR="009F534E" w:rsidRDefault="00E64051" w:rsidP="006C6AAE">
      <w:pPr>
        <w:ind w:firstLine="640"/>
        <w:jc w:val="center"/>
        <w:rPr>
          <w:rFonts w:ascii="黑体" w:eastAsia="黑体" w:hAnsi="宋体"/>
          <w:sz w:val="32"/>
          <w:szCs w:val="32"/>
        </w:rPr>
      </w:pPr>
      <w:r>
        <w:rPr>
          <w:rFonts w:ascii="黑体" w:eastAsia="黑体" w:hAnsi="宋体" w:hint="eastAsia"/>
          <w:sz w:val="32"/>
          <w:szCs w:val="32"/>
        </w:rPr>
        <w:t>长治市规划设计院</w:t>
      </w:r>
    </w:p>
    <w:p w:rsidR="009F534E" w:rsidRDefault="00E64051" w:rsidP="006C6AAE">
      <w:pPr>
        <w:ind w:firstLine="640"/>
        <w:jc w:val="center"/>
        <w:rPr>
          <w:rFonts w:ascii="黑体" w:eastAsia="黑体" w:hAnsi="宋体"/>
          <w:sz w:val="32"/>
          <w:szCs w:val="32"/>
        </w:rPr>
      </w:pPr>
      <w:r>
        <w:rPr>
          <w:rFonts w:ascii="黑体" w:eastAsia="黑体" w:hAnsi="宋体" w:hint="eastAsia"/>
          <w:sz w:val="32"/>
          <w:szCs w:val="32"/>
        </w:rPr>
        <w:t>2019.08</w:t>
      </w:r>
    </w:p>
    <w:p w:rsidR="009F534E" w:rsidRDefault="009F534E">
      <w:pPr>
        <w:pStyle w:val="2"/>
        <w:sectPr w:rsidR="009F534E">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pgNumType w:start="0"/>
          <w:cols w:space="720"/>
          <w:docGrid w:type="lines" w:linePitch="312"/>
        </w:sectPr>
      </w:pPr>
    </w:p>
    <w:p w:rsidR="009F534E" w:rsidRDefault="009F534E">
      <w:pPr>
        <w:ind w:firstLineChars="0" w:firstLine="0"/>
      </w:pPr>
    </w:p>
    <w:p w:rsidR="009F534E" w:rsidRDefault="00E64051">
      <w:pPr>
        <w:ind w:firstLineChars="0" w:firstLine="0"/>
        <w:jc w:val="center"/>
        <w:rPr>
          <w:b/>
          <w:bCs/>
          <w:sz w:val="32"/>
          <w:szCs w:val="24"/>
        </w:rPr>
      </w:pPr>
      <w:r>
        <w:rPr>
          <w:rFonts w:hint="eastAsia"/>
          <w:b/>
          <w:bCs/>
          <w:sz w:val="32"/>
          <w:szCs w:val="24"/>
        </w:rPr>
        <w:t>目</w:t>
      </w:r>
      <w:r>
        <w:rPr>
          <w:rFonts w:hint="eastAsia"/>
          <w:b/>
          <w:bCs/>
          <w:sz w:val="32"/>
          <w:szCs w:val="24"/>
        </w:rPr>
        <w:t xml:space="preserve">   </w:t>
      </w:r>
      <w:r>
        <w:rPr>
          <w:rFonts w:hint="eastAsia"/>
          <w:b/>
          <w:bCs/>
          <w:sz w:val="32"/>
          <w:szCs w:val="24"/>
        </w:rPr>
        <w:t>录</w:t>
      </w:r>
    </w:p>
    <w:p w:rsidR="009F534E" w:rsidRDefault="00E64051" w:rsidP="006C6AAE">
      <w:pPr>
        <w:pStyle w:val="10"/>
        <w:tabs>
          <w:tab w:val="right" w:leader="dot" w:pos="8306"/>
        </w:tabs>
        <w:ind w:firstLine="562"/>
        <w:rPr>
          <w:b/>
          <w:bCs/>
        </w:rPr>
      </w:pPr>
      <w:r>
        <w:rPr>
          <w:b/>
          <w:bCs/>
        </w:rPr>
        <w:fldChar w:fldCharType="begin"/>
      </w:r>
      <w:r>
        <w:rPr>
          <w:b/>
          <w:bCs/>
        </w:rPr>
        <w:instrText xml:space="preserve">TOC \o "1-3" \h \u </w:instrText>
      </w:r>
      <w:r>
        <w:rPr>
          <w:b/>
          <w:bCs/>
        </w:rPr>
        <w:fldChar w:fldCharType="separate"/>
      </w:r>
    </w:p>
    <w:p w:rsidR="009F534E" w:rsidRDefault="00F66782" w:rsidP="006C6AAE">
      <w:pPr>
        <w:pStyle w:val="20"/>
        <w:tabs>
          <w:tab w:val="right" w:leader="dot" w:pos="8306"/>
        </w:tabs>
        <w:spacing w:line="600" w:lineRule="auto"/>
        <w:ind w:left="560" w:firstLine="560"/>
      </w:pPr>
      <w:hyperlink w:anchor="_Toc22025" w:history="1">
        <w:r w:rsidR="00E64051">
          <w:t>一、</w:t>
        </w:r>
        <w:r w:rsidR="00E64051">
          <w:rPr>
            <w:rFonts w:hint="eastAsia"/>
          </w:rPr>
          <w:t>概述</w:t>
        </w:r>
        <w:r w:rsidR="00E64051">
          <w:tab/>
        </w:r>
        <w:r>
          <w:fldChar w:fldCharType="begin"/>
        </w:r>
        <w:r>
          <w:instrText xml:space="preserve"> PAGEREF _Toc22025 </w:instrText>
        </w:r>
        <w:r>
          <w:fldChar w:fldCharType="separate"/>
        </w:r>
        <w:r w:rsidR="00AA1631">
          <w:rPr>
            <w:noProof/>
          </w:rPr>
          <w:t>2</w:t>
        </w:r>
        <w:r>
          <w:fldChar w:fldCharType="end"/>
        </w:r>
      </w:hyperlink>
    </w:p>
    <w:p w:rsidR="009F534E" w:rsidRDefault="00F66782">
      <w:pPr>
        <w:pStyle w:val="10"/>
        <w:tabs>
          <w:tab w:val="right" w:leader="dot" w:pos="8306"/>
        </w:tabs>
        <w:spacing w:line="600" w:lineRule="auto"/>
        <w:ind w:firstLineChars="400" w:firstLine="1120"/>
      </w:pPr>
      <w:hyperlink w:anchor="_Toc20622" w:history="1">
        <w:r w:rsidR="00E64051">
          <w:rPr>
            <w:rFonts w:hint="eastAsia"/>
            <w:szCs w:val="32"/>
          </w:rPr>
          <w:t>二、规划调整依据</w:t>
        </w:r>
        <w:r w:rsidR="00E64051">
          <w:tab/>
        </w:r>
        <w:r>
          <w:fldChar w:fldCharType="begin"/>
        </w:r>
        <w:r>
          <w:instrText xml:space="preserve"> PAGEREF _Toc20622 </w:instrText>
        </w:r>
        <w:r>
          <w:fldChar w:fldCharType="separate"/>
        </w:r>
        <w:r w:rsidR="00AA1631">
          <w:rPr>
            <w:noProof/>
          </w:rPr>
          <w:t>3</w:t>
        </w:r>
        <w:r>
          <w:fldChar w:fldCharType="end"/>
        </w:r>
      </w:hyperlink>
    </w:p>
    <w:p w:rsidR="009F534E" w:rsidRDefault="00F66782" w:rsidP="006C6AAE">
      <w:pPr>
        <w:pStyle w:val="20"/>
        <w:tabs>
          <w:tab w:val="right" w:leader="dot" w:pos="8306"/>
        </w:tabs>
        <w:spacing w:line="600" w:lineRule="auto"/>
        <w:ind w:left="560" w:firstLine="560"/>
      </w:pPr>
      <w:hyperlink w:anchor="_Toc4388" w:history="1">
        <w:r w:rsidR="00E64051">
          <w:rPr>
            <w:rFonts w:hint="eastAsia"/>
          </w:rPr>
          <w:t>三、地块现状概述</w:t>
        </w:r>
        <w:r w:rsidR="00E64051">
          <w:tab/>
        </w:r>
        <w:r>
          <w:fldChar w:fldCharType="begin"/>
        </w:r>
        <w:r>
          <w:instrText xml:space="preserve"> PAGEREF _Toc4388 </w:instrText>
        </w:r>
        <w:r>
          <w:fldChar w:fldCharType="separate"/>
        </w:r>
        <w:r w:rsidR="00AA1631">
          <w:rPr>
            <w:noProof/>
          </w:rPr>
          <w:t>3</w:t>
        </w:r>
        <w:r>
          <w:fldChar w:fldCharType="end"/>
        </w:r>
      </w:hyperlink>
    </w:p>
    <w:p w:rsidR="009F534E" w:rsidRDefault="00F66782">
      <w:pPr>
        <w:pStyle w:val="10"/>
        <w:tabs>
          <w:tab w:val="right" w:leader="dot" w:pos="8306"/>
        </w:tabs>
        <w:spacing w:line="600" w:lineRule="auto"/>
        <w:ind w:firstLineChars="400" w:firstLine="1120"/>
      </w:pPr>
      <w:hyperlink w:anchor="_Toc14881" w:history="1">
        <w:r w:rsidR="00E64051">
          <w:rPr>
            <w:rFonts w:hint="eastAsia"/>
            <w:szCs w:val="32"/>
          </w:rPr>
          <w:t>四、规划调整必要性</w:t>
        </w:r>
        <w:r w:rsidR="00E64051">
          <w:tab/>
        </w:r>
        <w:r>
          <w:fldChar w:fldCharType="begin"/>
        </w:r>
        <w:r>
          <w:instrText xml:space="preserve"> PAGEREF _Toc14881 </w:instrText>
        </w:r>
        <w:r>
          <w:fldChar w:fldCharType="separate"/>
        </w:r>
        <w:r w:rsidR="00AA1631">
          <w:rPr>
            <w:noProof/>
          </w:rPr>
          <w:t>4</w:t>
        </w:r>
        <w:r>
          <w:fldChar w:fldCharType="end"/>
        </w:r>
      </w:hyperlink>
    </w:p>
    <w:p w:rsidR="009F534E" w:rsidRDefault="00F66782">
      <w:pPr>
        <w:pStyle w:val="10"/>
        <w:tabs>
          <w:tab w:val="right" w:leader="dot" w:pos="8306"/>
        </w:tabs>
        <w:spacing w:line="600" w:lineRule="auto"/>
        <w:ind w:firstLineChars="400" w:firstLine="1120"/>
      </w:pPr>
      <w:hyperlink w:anchor="_Toc19800" w:history="1">
        <w:r w:rsidR="00E64051">
          <w:rPr>
            <w:rFonts w:hint="eastAsia"/>
            <w:szCs w:val="32"/>
          </w:rPr>
          <w:t>五、规划调整内容</w:t>
        </w:r>
        <w:r w:rsidR="00E64051">
          <w:tab/>
        </w:r>
        <w:r>
          <w:fldChar w:fldCharType="begin"/>
        </w:r>
        <w:r>
          <w:instrText xml:space="preserve"> PAGEREF </w:instrText>
        </w:r>
        <w:r>
          <w:instrText xml:space="preserve">_Toc19800 </w:instrText>
        </w:r>
        <w:r>
          <w:fldChar w:fldCharType="separate"/>
        </w:r>
        <w:r w:rsidR="00AA1631">
          <w:rPr>
            <w:noProof/>
          </w:rPr>
          <w:t>5</w:t>
        </w:r>
        <w:r>
          <w:fldChar w:fldCharType="end"/>
        </w:r>
      </w:hyperlink>
    </w:p>
    <w:p w:rsidR="009F534E" w:rsidRDefault="00F66782">
      <w:pPr>
        <w:pStyle w:val="10"/>
        <w:tabs>
          <w:tab w:val="right" w:leader="dot" w:pos="8306"/>
        </w:tabs>
        <w:spacing w:line="600" w:lineRule="auto"/>
        <w:ind w:firstLineChars="400" w:firstLine="1120"/>
      </w:pPr>
      <w:hyperlink w:anchor="_Toc15836" w:history="1">
        <w:r w:rsidR="00E64051">
          <w:rPr>
            <w:rFonts w:hint="eastAsia"/>
            <w:szCs w:val="32"/>
          </w:rPr>
          <w:t>六、规划调整可行性分析</w:t>
        </w:r>
        <w:r w:rsidR="00E64051">
          <w:tab/>
        </w:r>
        <w:r>
          <w:fldChar w:fldCharType="begin"/>
        </w:r>
        <w:r>
          <w:instrText xml:space="preserve"> PAGEREF _Toc15836 </w:instrText>
        </w:r>
        <w:r>
          <w:fldChar w:fldCharType="separate"/>
        </w:r>
        <w:r w:rsidR="00AA1631">
          <w:rPr>
            <w:noProof/>
          </w:rPr>
          <w:t>6</w:t>
        </w:r>
        <w:r>
          <w:fldChar w:fldCharType="end"/>
        </w:r>
      </w:hyperlink>
    </w:p>
    <w:p w:rsidR="009F534E" w:rsidRDefault="00F66782" w:rsidP="006C6AAE">
      <w:pPr>
        <w:pStyle w:val="20"/>
        <w:tabs>
          <w:tab w:val="right" w:leader="dot" w:pos="8306"/>
        </w:tabs>
        <w:spacing w:line="600" w:lineRule="auto"/>
        <w:ind w:left="560" w:firstLine="560"/>
      </w:pPr>
      <w:hyperlink w:anchor="_Toc12233" w:history="1">
        <w:r w:rsidR="00E64051">
          <w:rPr>
            <w:rFonts w:hint="eastAsia"/>
          </w:rPr>
          <w:t>七、项目可实施性</w:t>
        </w:r>
        <w:r w:rsidR="00E64051">
          <w:tab/>
        </w:r>
        <w:r w:rsidR="00E64051">
          <w:rPr>
            <w:rFonts w:hint="eastAsia"/>
          </w:rPr>
          <w:t xml:space="preserve"> </w:t>
        </w:r>
        <w:r>
          <w:fldChar w:fldCharType="begin"/>
        </w:r>
        <w:r>
          <w:instrText xml:space="preserve"> PAGEREF _Toc12233 </w:instrText>
        </w:r>
        <w:r>
          <w:fldChar w:fldCharType="separate"/>
        </w:r>
        <w:r w:rsidR="00AA1631">
          <w:rPr>
            <w:noProof/>
          </w:rPr>
          <w:t>11</w:t>
        </w:r>
        <w:r>
          <w:fldChar w:fldCharType="end"/>
        </w:r>
      </w:hyperlink>
    </w:p>
    <w:p w:rsidR="009F534E" w:rsidRDefault="009F534E">
      <w:pPr>
        <w:ind w:firstLineChars="0" w:firstLine="0"/>
      </w:pPr>
    </w:p>
    <w:p w:rsidR="009F534E" w:rsidRDefault="00E64051">
      <w:pPr>
        <w:ind w:firstLineChars="0" w:firstLine="0"/>
      </w:pPr>
      <w:r>
        <w:rPr>
          <w:b/>
          <w:bCs/>
        </w:rPr>
        <w:fldChar w:fldCharType="end"/>
      </w:r>
    </w:p>
    <w:p w:rsidR="009F534E" w:rsidRDefault="009F534E">
      <w:pPr>
        <w:ind w:firstLineChars="0" w:firstLine="0"/>
      </w:pPr>
    </w:p>
    <w:p w:rsidR="009F534E" w:rsidRDefault="009F534E">
      <w:pPr>
        <w:ind w:firstLineChars="0" w:firstLine="0"/>
      </w:pPr>
    </w:p>
    <w:p w:rsidR="009F534E" w:rsidRDefault="00E64051">
      <w:pPr>
        <w:ind w:firstLineChars="0" w:firstLine="0"/>
      </w:pPr>
      <w:r>
        <w:br w:type="page"/>
      </w:r>
    </w:p>
    <w:p w:rsidR="009F534E" w:rsidRDefault="00E64051">
      <w:pPr>
        <w:pStyle w:val="2"/>
        <w:numPr>
          <w:ilvl w:val="0"/>
          <w:numId w:val="1"/>
        </w:numPr>
      </w:pPr>
      <w:bookmarkStart w:id="1" w:name="_Toc22025"/>
      <w:r>
        <w:rPr>
          <w:rFonts w:hint="eastAsia"/>
        </w:rPr>
        <w:t>概述</w:t>
      </w:r>
      <w:bookmarkEnd w:id="1"/>
    </w:p>
    <w:p w:rsidR="009F534E" w:rsidRDefault="00F66782" w:rsidP="006C6AAE">
      <w:pPr>
        <w:ind w:firstLine="560"/>
      </w:pPr>
      <w:r>
        <w:pict>
          <v:rect id="文本框 16" o:spid="_x0000_s1027" style="position:absolute;left:0;text-align:left;margin-left:122.95pt;margin-top:90.9pt;width:233.3pt;height:37.7pt;z-index:2" o:preferrelative="t" filled="f" stroked="f">
            <v:textbox>
              <w:txbxContent>
                <w:p w:rsidR="009F534E" w:rsidRDefault="00E64051" w:rsidP="006C6AAE">
                  <w:pPr>
                    <w:ind w:firstLine="480"/>
                    <w:rPr>
                      <w:rFonts w:ascii="黑体" w:eastAsia="黑体" w:hAnsi="黑体"/>
                      <w:sz w:val="24"/>
                      <w:szCs w:val="21"/>
                    </w:rPr>
                  </w:pPr>
                  <w:r>
                    <w:rPr>
                      <w:rFonts w:ascii="黑体" w:eastAsia="黑体" w:hAnsi="黑体" w:hint="eastAsia"/>
                      <w:sz w:val="24"/>
                      <w:szCs w:val="21"/>
                    </w:rPr>
                    <w:t xml:space="preserve">区位图      图一 </w:t>
                  </w:r>
                </w:p>
              </w:txbxContent>
            </v:textbox>
          </v:rect>
        </w:pict>
      </w:r>
      <w:r w:rsidR="00E64051">
        <w:rPr>
          <w:rFonts w:hint="eastAsia"/>
        </w:rPr>
        <w:t>本次调整的地块位于《沁源县城东片区控制性详细规划》中</w:t>
      </w:r>
      <w:r w:rsidR="00E64051">
        <w:rPr>
          <w:rFonts w:hint="eastAsia"/>
        </w:rPr>
        <w:t>B</w:t>
      </w:r>
      <w:r w:rsidR="00E64051">
        <w:rPr>
          <w:rFonts w:hint="eastAsia"/>
        </w:rPr>
        <w:t>单元中的</w:t>
      </w:r>
      <w:r w:rsidR="00E64051">
        <w:rPr>
          <w:rFonts w:hint="eastAsia"/>
        </w:rPr>
        <w:t>B-30</w:t>
      </w:r>
      <w:r w:rsidR="00E64051">
        <w:rPr>
          <w:rFonts w:hint="eastAsia"/>
        </w:rPr>
        <w:t>街坊。其中</w:t>
      </w:r>
      <w:r w:rsidR="00E64051">
        <w:rPr>
          <w:rFonts w:hint="eastAsia"/>
        </w:rPr>
        <w:t>B-30</w:t>
      </w:r>
      <w:r w:rsidR="00E64051">
        <w:rPr>
          <w:rFonts w:hint="eastAsia"/>
        </w:rPr>
        <w:t>街坊周边道路为规划外环路，小河东路、纬十路、经三路，该街坊用地面积为</w:t>
      </w:r>
      <w:r w:rsidR="00E64051">
        <w:rPr>
          <w:rFonts w:hint="eastAsia"/>
        </w:rPr>
        <w:t>3.5</w:t>
      </w:r>
      <w:r w:rsidR="00FE2058">
        <w:rPr>
          <w:rFonts w:hint="eastAsia"/>
        </w:rPr>
        <w:t>1</w:t>
      </w:r>
      <w:r w:rsidR="00E64051">
        <w:rPr>
          <w:rFonts w:hint="eastAsia"/>
        </w:rPr>
        <w:t>公顷。</w:t>
      </w:r>
      <w:bookmarkStart w:id="2" w:name="_GoBack"/>
      <w:bookmarkEnd w:id="2"/>
    </w:p>
    <w:p w:rsidR="009F534E" w:rsidRDefault="00F66782" w:rsidP="006C6AAE">
      <w:pPr>
        <w:ind w:firstLine="56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框 11" o:spid="_x0000_s1028" type="#_x0000_t75" style="position:absolute;left:0;text-align:left;margin-left:23pt;margin-top:39.4pt;width:383pt;height:437.5pt;z-index:5;mso-wrap-distance-top:0;mso-wrap-distance-bottom:0">
            <v:imagedata r:id="rId15" o:title="6 规划用地" croptop="10199f" cropbottom="3927f" cropleft="2253f" cropright="2507f"/>
            <w10:wrap type="topAndBottom"/>
          </v:shape>
        </w:pict>
      </w:r>
    </w:p>
    <w:p w:rsidR="009F534E" w:rsidRDefault="00E64051">
      <w:pPr>
        <w:pStyle w:val="1"/>
        <w:rPr>
          <w:rFonts w:ascii="宋体" w:hAnsi="宋体"/>
          <w:b w:val="0"/>
          <w:sz w:val="30"/>
          <w:szCs w:val="30"/>
        </w:rPr>
      </w:pPr>
      <w:bookmarkStart w:id="3" w:name="_Toc513816748"/>
      <w:bookmarkStart w:id="4" w:name="_Toc20622"/>
      <w:bookmarkStart w:id="5" w:name="_Toc13358"/>
      <w:r>
        <w:rPr>
          <w:rFonts w:hint="eastAsia"/>
          <w:sz w:val="32"/>
          <w:szCs w:val="32"/>
        </w:rPr>
        <w:lastRenderedPageBreak/>
        <w:t>二、规划调整依据</w:t>
      </w:r>
      <w:bookmarkEnd w:id="3"/>
      <w:bookmarkEnd w:id="4"/>
      <w:bookmarkEnd w:id="5"/>
    </w:p>
    <w:p w:rsidR="009F534E" w:rsidRDefault="00E64051" w:rsidP="006C6AAE">
      <w:pPr>
        <w:spacing w:beforeLines="50" w:before="156" w:afterLines="50" w:after="156" w:line="360" w:lineRule="auto"/>
        <w:ind w:firstLine="560"/>
        <w:rPr>
          <w:rFonts w:ascii="宋体" w:hAnsi="宋体"/>
          <w:szCs w:val="28"/>
        </w:rPr>
      </w:pPr>
      <w:r>
        <w:rPr>
          <w:rFonts w:ascii="宋体" w:hAnsi="宋体" w:hint="eastAsia"/>
          <w:szCs w:val="28"/>
        </w:rPr>
        <w:t>1、《中华人民共和国城乡规划法》（2008.1）</w:t>
      </w:r>
    </w:p>
    <w:p w:rsidR="009F534E" w:rsidRDefault="00E64051" w:rsidP="006C6AAE">
      <w:pPr>
        <w:spacing w:beforeLines="50" w:before="156" w:afterLines="50" w:after="156" w:line="360" w:lineRule="auto"/>
        <w:ind w:firstLine="560"/>
        <w:rPr>
          <w:rFonts w:ascii="宋体" w:hAnsi="宋体"/>
          <w:szCs w:val="28"/>
        </w:rPr>
      </w:pPr>
      <w:r>
        <w:rPr>
          <w:rFonts w:ascii="宋体" w:hAnsi="宋体" w:hint="eastAsia"/>
          <w:szCs w:val="28"/>
        </w:rPr>
        <w:t>2、《山西省城乡规划条例》（2010.1）</w:t>
      </w:r>
    </w:p>
    <w:p w:rsidR="009F534E" w:rsidRDefault="00E64051" w:rsidP="006C6AAE">
      <w:pPr>
        <w:spacing w:beforeLines="50" w:before="156" w:afterLines="50" w:after="156" w:line="360" w:lineRule="auto"/>
        <w:ind w:firstLine="560"/>
        <w:rPr>
          <w:rFonts w:ascii="宋体" w:hAnsi="宋体"/>
          <w:szCs w:val="28"/>
        </w:rPr>
      </w:pPr>
      <w:r>
        <w:rPr>
          <w:rFonts w:ascii="宋体" w:hAnsi="宋体" w:hint="eastAsia"/>
          <w:szCs w:val="28"/>
        </w:rPr>
        <w:t>3、《城市规划编制办法》（2006.4）</w:t>
      </w:r>
    </w:p>
    <w:p w:rsidR="009F534E" w:rsidRDefault="00E64051" w:rsidP="006C6AAE">
      <w:pPr>
        <w:spacing w:beforeLines="50" w:before="156" w:afterLines="50" w:after="156" w:line="360" w:lineRule="auto"/>
        <w:ind w:firstLine="560"/>
        <w:rPr>
          <w:rFonts w:ascii="宋体" w:hAnsi="宋体"/>
          <w:szCs w:val="28"/>
        </w:rPr>
      </w:pPr>
      <w:r>
        <w:rPr>
          <w:rFonts w:ascii="宋体" w:hAnsi="宋体" w:hint="eastAsia"/>
          <w:szCs w:val="28"/>
        </w:rPr>
        <w:t>4、《城市、镇控制性详细规划编制审批办法》（2010.12）</w:t>
      </w:r>
    </w:p>
    <w:p w:rsidR="009F534E" w:rsidRDefault="00E64051" w:rsidP="006C6AAE">
      <w:pPr>
        <w:spacing w:beforeLines="50" w:before="156" w:afterLines="50" w:after="156" w:line="360" w:lineRule="auto"/>
        <w:ind w:firstLine="560"/>
        <w:rPr>
          <w:rFonts w:ascii="宋体" w:hAnsi="宋体"/>
          <w:szCs w:val="28"/>
        </w:rPr>
      </w:pPr>
      <w:r>
        <w:rPr>
          <w:rFonts w:ascii="宋体" w:hAnsi="宋体" w:hint="eastAsia"/>
          <w:szCs w:val="28"/>
        </w:rPr>
        <w:t>5、《城市用地分类与规划建设用地标准（GB50137—2011）》</w:t>
      </w:r>
    </w:p>
    <w:p w:rsidR="009F534E" w:rsidRDefault="00E64051" w:rsidP="006C6AAE">
      <w:pPr>
        <w:spacing w:beforeLines="50" w:before="156" w:afterLines="50" w:after="156" w:line="360" w:lineRule="auto"/>
        <w:ind w:firstLine="560"/>
        <w:rPr>
          <w:rFonts w:ascii="宋体" w:hAnsi="宋体"/>
          <w:szCs w:val="28"/>
        </w:rPr>
      </w:pPr>
      <w:r>
        <w:rPr>
          <w:rFonts w:ascii="宋体" w:hAnsi="宋体" w:hint="eastAsia"/>
          <w:szCs w:val="28"/>
        </w:rPr>
        <w:t>6、《建设用地容积率管理办法》（2012.3）</w:t>
      </w:r>
    </w:p>
    <w:p w:rsidR="009F534E" w:rsidRDefault="00E64051" w:rsidP="006C6AAE">
      <w:pPr>
        <w:spacing w:beforeLines="50" w:before="156" w:afterLines="50" w:after="156" w:line="360" w:lineRule="auto"/>
        <w:ind w:firstLine="560"/>
        <w:rPr>
          <w:rFonts w:ascii="宋体" w:hAnsi="宋体"/>
          <w:szCs w:val="28"/>
        </w:rPr>
      </w:pPr>
      <w:r>
        <w:rPr>
          <w:rFonts w:ascii="宋体" w:hAnsi="宋体" w:hint="eastAsia"/>
          <w:szCs w:val="28"/>
        </w:rPr>
        <w:t>7、《沁源县城市总体规划（2011-2030）》</w:t>
      </w:r>
    </w:p>
    <w:p w:rsidR="009F534E" w:rsidRDefault="00E64051" w:rsidP="006C6AAE">
      <w:pPr>
        <w:spacing w:beforeLines="50" w:before="156" w:afterLines="50" w:after="156" w:line="360" w:lineRule="auto"/>
        <w:ind w:firstLine="560"/>
        <w:rPr>
          <w:rFonts w:ascii="宋体" w:hAnsi="宋体"/>
          <w:szCs w:val="28"/>
        </w:rPr>
      </w:pPr>
      <w:r>
        <w:rPr>
          <w:rFonts w:ascii="宋体" w:hAnsi="宋体" w:hint="eastAsia"/>
          <w:szCs w:val="28"/>
        </w:rPr>
        <w:t>8、《</w:t>
      </w:r>
      <w:r>
        <w:rPr>
          <w:rFonts w:hint="eastAsia"/>
        </w:rPr>
        <w:t>沁源县城东片区控制性详细规划</w:t>
      </w:r>
      <w:r>
        <w:rPr>
          <w:rFonts w:ascii="宋体" w:hAnsi="宋体" w:hint="eastAsia"/>
          <w:szCs w:val="28"/>
        </w:rPr>
        <w:t>》</w:t>
      </w:r>
    </w:p>
    <w:p w:rsidR="009F534E" w:rsidRDefault="00E64051" w:rsidP="006C6AAE">
      <w:pPr>
        <w:spacing w:beforeLines="50" w:before="156" w:line="360" w:lineRule="auto"/>
        <w:ind w:firstLine="560"/>
        <w:rPr>
          <w:rFonts w:ascii="宋体" w:hAnsi="宋体"/>
          <w:sz w:val="24"/>
          <w:szCs w:val="24"/>
        </w:rPr>
      </w:pPr>
      <w:r>
        <w:rPr>
          <w:rFonts w:ascii="宋体" w:hAnsi="宋体" w:hint="eastAsia"/>
          <w:szCs w:val="28"/>
        </w:rPr>
        <w:t>9、《长治市城乡规划管理技术规定》（长政办发【2014】105号）</w:t>
      </w:r>
    </w:p>
    <w:p w:rsidR="009F534E" w:rsidRDefault="00E64051" w:rsidP="006C6AAE">
      <w:pPr>
        <w:spacing w:beforeLines="50" w:before="156" w:afterLines="50" w:after="156" w:line="360" w:lineRule="auto"/>
        <w:ind w:firstLine="560"/>
        <w:rPr>
          <w:rFonts w:ascii="宋体" w:hAnsi="宋体"/>
          <w:szCs w:val="28"/>
        </w:rPr>
      </w:pPr>
      <w:r>
        <w:rPr>
          <w:rFonts w:ascii="宋体" w:hAnsi="宋体" w:hint="eastAsia"/>
          <w:szCs w:val="28"/>
        </w:rPr>
        <w:t>10、《沁源县自然资源局关于对开展沁源县城东片区控制性详细规划</w:t>
      </w:r>
      <w:r>
        <w:rPr>
          <w:rFonts w:hint="eastAsia"/>
        </w:rPr>
        <w:t>B-30-01-01</w:t>
      </w:r>
      <w:r>
        <w:rPr>
          <w:rFonts w:ascii="宋体" w:hAnsi="宋体" w:hint="eastAsia"/>
          <w:szCs w:val="28"/>
        </w:rPr>
        <w:t>地块调整工作的请示》</w:t>
      </w:r>
    </w:p>
    <w:p w:rsidR="009F534E" w:rsidRDefault="00E64051" w:rsidP="006C6AAE">
      <w:pPr>
        <w:spacing w:beforeLines="50" w:before="156" w:afterLines="50" w:after="156" w:line="360" w:lineRule="auto"/>
        <w:ind w:firstLine="560"/>
        <w:rPr>
          <w:rFonts w:ascii="宋体"/>
          <w:color w:val="000000"/>
          <w:szCs w:val="28"/>
        </w:rPr>
      </w:pPr>
      <w:r>
        <w:rPr>
          <w:rFonts w:ascii="宋体" w:hAnsi="宋体" w:hint="eastAsia"/>
          <w:szCs w:val="28"/>
        </w:rPr>
        <w:t>11、</w:t>
      </w:r>
      <w:r>
        <w:rPr>
          <w:rFonts w:ascii="宋体" w:hint="eastAsia"/>
          <w:color w:val="000000"/>
          <w:szCs w:val="28"/>
        </w:rPr>
        <w:t>国家、山西省、长治市有关规范</w:t>
      </w:r>
    </w:p>
    <w:p w:rsidR="009F534E" w:rsidRDefault="00E64051">
      <w:pPr>
        <w:pStyle w:val="2"/>
      </w:pPr>
      <w:bookmarkStart w:id="6" w:name="_Toc4388"/>
      <w:r>
        <w:rPr>
          <w:rFonts w:hint="eastAsia"/>
        </w:rPr>
        <w:t>三、地块现状概述</w:t>
      </w:r>
      <w:bookmarkEnd w:id="6"/>
    </w:p>
    <w:p w:rsidR="009F534E" w:rsidRDefault="00E64051" w:rsidP="006C6AAE">
      <w:pPr>
        <w:ind w:firstLine="560"/>
      </w:pPr>
      <w:r>
        <w:rPr>
          <w:rFonts w:hint="eastAsia"/>
        </w:rPr>
        <w:t>本次调整地块涉及的</w:t>
      </w:r>
      <w:r>
        <w:rPr>
          <w:rFonts w:hint="eastAsia"/>
        </w:rPr>
        <w:t>B-30</w:t>
      </w:r>
      <w:r>
        <w:rPr>
          <w:rFonts w:hint="eastAsia"/>
        </w:rPr>
        <w:t>街坊位于沁源县城四维村东环路以西。现状</w:t>
      </w:r>
      <w:r>
        <w:rPr>
          <w:rFonts w:hint="eastAsia"/>
        </w:rPr>
        <w:t>B-30</w:t>
      </w:r>
      <w:r>
        <w:rPr>
          <w:rFonts w:hint="eastAsia"/>
        </w:rPr>
        <w:t>街坊所在区域用地为</w:t>
      </w:r>
      <w:proofErr w:type="gramStart"/>
      <w:r>
        <w:rPr>
          <w:rFonts w:hint="eastAsia"/>
        </w:rPr>
        <w:t>为</w:t>
      </w:r>
      <w:proofErr w:type="gramEnd"/>
      <w:r>
        <w:rPr>
          <w:rFonts w:hint="eastAsia"/>
        </w:rPr>
        <w:t>闲置用地。</w:t>
      </w:r>
    </w:p>
    <w:p w:rsidR="009F534E" w:rsidRDefault="00F66782" w:rsidP="006C6AAE">
      <w:pPr>
        <w:ind w:firstLine="560"/>
      </w:pPr>
      <w:r>
        <w:pict>
          <v:rect id="文本框 19" o:spid="_x0000_s1029" style="position:absolute;left:0;text-align:left;margin-left:135.8pt;margin-top:8.25pt;width:249.5pt;height:31.7pt;z-index:4" o:preferrelative="t" filled="f" stroked="f">
            <v:textbox>
              <w:txbxContent>
                <w:p w:rsidR="009F534E" w:rsidRDefault="00E64051">
                  <w:pPr>
                    <w:ind w:firstLineChars="0" w:firstLine="0"/>
                    <w:rPr>
                      <w:rFonts w:ascii="黑体" w:eastAsia="黑体" w:hAnsi="黑体"/>
                      <w:sz w:val="24"/>
                      <w:szCs w:val="21"/>
                    </w:rPr>
                  </w:pPr>
                  <w:r>
                    <w:rPr>
                      <w:rFonts w:ascii="黑体" w:eastAsia="黑体" w:hAnsi="黑体" w:hint="eastAsia"/>
                      <w:sz w:val="24"/>
                      <w:szCs w:val="21"/>
                    </w:rPr>
                    <w:t>现状图        图三</w:t>
                  </w:r>
                </w:p>
              </w:txbxContent>
            </v:textbox>
          </v:rect>
        </w:pict>
      </w:r>
    </w:p>
    <w:p w:rsidR="009F534E" w:rsidRDefault="00F66782">
      <w:pPr>
        <w:ind w:firstLineChars="0" w:firstLine="0"/>
        <w:jc w:val="center"/>
        <w:rPr>
          <w:rFonts w:ascii="黑体" w:eastAsia="黑体" w:hAnsi="黑体"/>
        </w:rPr>
      </w:pPr>
      <w:r>
        <w:rPr>
          <w:rFonts w:ascii="黑体" w:eastAsia="黑体" w:hAnsi="黑体"/>
        </w:rPr>
        <w:lastRenderedPageBreak/>
        <w:pict>
          <v:shape id="图片框 13" o:spid="_x0000_s1030" type="#_x0000_t75" style="position:absolute;left:0;text-align:left;margin-left:0;margin-top:6.5pt;width:422.8pt;height:225.05pt;z-index:-1" fillcolor="black" stroked="t">
            <v:stroke miterlimit="2"/>
            <v:imagedata r:id="rId16" o:title="现状"/>
          </v:shape>
        </w:pict>
      </w:r>
    </w:p>
    <w:p w:rsidR="009F534E" w:rsidRDefault="009F534E" w:rsidP="006C6AAE">
      <w:pPr>
        <w:ind w:firstLine="560"/>
      </w:pPr>
    </w:p>
    <w:p w:rsidR="009F534E" w:rsidRDefault="009F534E" w:rsidP="006C6AAE">
      <w:pPr>
        <w:ind w:firstLine="560"/>
      </w:pPr>
    </w:p>
    <w:p w:rsidR="009F534E" w:rsidRDefault="009F534E" w:rsidP="006C6AAE">
      <w:pPr>
        <w:ind w:firstLine="560"/>
      </w:pPr>
    </w:p>
    <w:p w:rsidR="009F534E" w:rsidRDefault="009F534E" w:rsidP="006C6AAE">
      <w:pPr>
        <w:ind w:firstLine="560"/>
      </w:pPr>
    </w:p>
    <w:p w:rsidR="009F534E" w:rsidRDefault="009F534E" w:rsidP="006C6AAE">
      <w:pPr>
        <w:ind w:firstLine="560"/>
      </w:pPr>
    </w:p>
    <w:p w:rsidR="009F534E" w:rsidRDefault="009F534E" w:rsidP="006C6AAE">
      <w:pPr>
        <w:ind w:firstLine="560"/>
      </w:pPr>
    </w:p>
    <w:p w:rsidR="009F534E" w:rsidRDefault="009F534E" w:rsidP="006C6AAE">
      <w:pPr>
        <w:ind w:firstLine="560"/>
      </w:pPr>
    </w:p>
    <w:p w:rsidR="009F534E" w:rsidRDefault="00E64051">
      <w:pPr>
        <w:pStyle w:val="1"/>
        <w:rPr>
          <w:sz w:val="32"/>
          <w:szCs w:val="32"/>
        </w:rPr>
      </w:pPr>
      <w:bookmarkStart w:id="7" w:name="_Toc28125"/>
      <w:bookmarkStart w:id="8" w:name="_Toc14881"/>
      <w:bookmarkStart w:id="9" w:name="_Toc513816750"/>
      <w:r>
        <w:rPr>
          <w:rFonts w:hint="eastAsia"/>
          <w:sz w:val="32"/>
          <w:szCs w:val="32"/>
        </w:rPr>
        <w:t>四、规划调整必要性</w:t>
      </w:r>
      <w:bookmarkEnd w:id="7"/>
      <w:bookmarkEnd w:id="8"/>
      <w:bookmarkEnd w:id="9"/>
    </w:p>
    <w:p w:rsidR="009F534E" w:rsidRDefault="00E64051" w:rsidP="006C6AAE">
      <w:pPr>
        <w:spacing w:beforeLines="50" w:before="156" w:afterLines="50" w:after="156" w:line="360" w:lineRule="auto"/>
        <w:ind w:firstLine="560"/>
        <w:rPr>
          <w:rFonts w:ascii="宋体" w:hAnsi="宋体"/>
          <w:szCs w:val="28"/>
        </w:rPr>
      </w:pPr>
      <w:r>
        <w:rPr>
          <w:rFonts w:ascii="宋体" w:hAnsi="宋体" w:hint="eastAsia"/>
          <w:szCs w:val="28"/>
        </w:rPr>
        <w:t>本次规划调整涉及的</w:t>
      </w:r>
      <w:r>
        <w:rPr>
          <w:rFonts w:hint="eastAsia"/>
        </w:rPr>
        <w:t>B-30</w:t>
      </w:r>
      <w:r>
        <w:rPr>
          <w:rFonts w:hint="eastAsia"/>
        </w:rPr>
        <w:t>街坊位于沁源县城四维村东环路以西，规划小河东街以北，原规划中该地块用地性质为商业用地。由于该地块周边规划皆为大型商业体，结合当前网络商业为主要发展趋势，结合沁源县的实际经济形势，大型商业综合体已不符合当前城市发展需要；同时由于县公安局交警综合业务技术用房项目选址于该地块东侧，该地块西侧紧邻县城的景观河道及公园绿地，因此为了提高该地块的土地利用率，本着节约集约用地的原则，从片区的整体区位考虑依据</w:t>
      </w:r>
      <w:r>
        <w:rPr>
          <w:rFonts w:ascii="宋体" w:hAnsi="宋体" w:hint="eastAsia"/>
          <w:szCs w:val="28"/>
        </w:rPr>
        <w:t>《沁源县自然资源局关于对开展沁源县城东片区控制性详细规划</w:t>
      </w:r>
      <w:r>
        <w:rPr>
          <w:rFonts w:hint="eastAsia"/>
        </w:rPr>
        <w:t>B-30-01-01</w:t>
      </w:r>
      <w:r>
        <w:rPr>
          <w:rFonts w:ascii="宋体" w:hAnsi="宋体" w:hint="eastAsia"/>
          <w:szCs w:val="28"/>
        </w:rPr>
        <w:t>地块调整工作的请示》</w:t>
      </w:r>
      <w:r>
        <w:rPr>
          <w:rFonts w:hint="eastAsia"/>
        </w:rPr>
        <w:t>的要求，我院决定调整该地块的用地性质为居住用地，并对地块的指标作一并修改。</w:t>
      </w:r>
    </w:p>
    <w:p w:rsidR="009F534E" w:rsidRDefault="00E64051" w:rsidP="006C6AAE">
      <w:pPr>
        <w:spacing w:beforeLines="50" w:before="156" w:afterLines="50" w:after="156" w:line="360" w:lineRule="auto"/>
        <w:ind w:firstLine="560"/>
        <w:rPr>
          <w:rFonts w:ascii="宋体" w:hAnsi="宋体"/>
          <w:szCs w:val="28"/>
        </w:rPr>
      </w:pPr>
      <w:r>
        <w:rPr>
          <w:rFonts w:ascii="宋体" w:hAnsi="宋体" w:hint="eastAsia"/>
          <w:szCs w:val="28"/>
        </w:rPr>
        <w:t>该区域建成后将不仅能满足居民的生活居住需求，同时也将极大的改变该片区的居住环境品质，完善片区周边的市政基础设施，优化</w:t>
      </w:r>
      <w:r>
        <w:rPr>
          <w:rFonts w:ascii="宋体" w:hAnsi="宋体" w:hint="eastAsia"/>
          <w:szCs w:val="28"/>
        </w:rPr>
        <w:lastRenderedPageBreak/>
        <w:t>东外环路的街景立面效果，极大的改善沁源县城的城市面貌。</w:t>
      </w:r>
    </w:p>
    <w:p w:rsidR="009F534E" w:rsidRDefault="00E64051" w:rsidP="006C6AAE">
      <w:pPr>
        <w:spacing w:beforeLines="50" w:before="156" w:afterLines="50" w:after="156" w:line="360" w:lineRule="auto"/>
        <w:ind w:firstLine="560"/>
        <w:rPr>
          <w:rFonts w:ascii="宋体" w:hAnsi="宋体"/>
          <w:szCs w:val="28"/>
        </w:rPr>
      </w:pPr>
      <w:r>
        <w:rPr>
          <w:rFonts w:ascii="宋体" w:hAnsi="宋体" w:hint="eastAsia"/>
          <w:szCs w:val="28"/>
        </w:rPr>
        <w:t>综上，我院认为本次调整是必要的。</w:t>
      </w:r>
    </w:p>
    <w:p w:rsidR="009F534E" w:rsidRDefault="00E64051">
      <w:pPr>
        <w:pStyle w:val="1"/>
        <w:rPr>
          <w:sz w:val="32"/>
          <w:szCs w:val="32"/>
        </w:rPr>
      </w:pPr>
      <w:bookmarkStart w:id="10" w:name="_Toc513816751"/>
      <w:bookmarkStart w:id="11" w:name="_Toc16995"/>
      <w:bookmarkStart w:id="12" w:name="_Toc19800"/>
      <w:r>
        <w:rPr>
          <w:rFonts w:hint="eastAsia"/>
          <w:sz w:val="32"/>
          <w:szCs w:val="32"/>
        </w:rPr>
        <w:t>五、规划调整内容</w:t>
      </w:r>
      <w:bookmarkEnd w:id="10"/>
      <w:bookmarkEnd w:id="11"/>
      <w:bookmarkEnd w:id="12"/>
    </w:p>
    <w:p w:rsidR="009F534E" w:rsidRDefault="00E64051" w:rsidP="006C6AAE">
      <w:pPr>
        <w:spacing w:beforeLines="50" w:before="156" w:afterLines="50" w:after="156" w:line="360" w:lineRule="auto"/>
        <w:ind w:firstLine="560"/>
        <w:rPr>
          <w:rFonts w:ascii="宋体" w:hAnsi="宋体"/>
          <w:szCs w:val="28"/>
        </w:rPr>
      </w:pPr>
      <w:r>
        <w:rPr>
          <w:rFonts w:ascii="宋体" w:hAnsi="宋体" w:hint="eastAsia"/>
          <w:szCs w:val="28"/>
        </w:rPr>
        <w:t>本次规划对</w:t>
      </w:r>
      <w:r>
        <w:rPr>
          <w:rFonts w:hint="eastAsia"/>
        </w:rPr>
        <w:t>B-30</w:t>
      </w:r>
      <w:r>
        <w:rPr>
          <w:rFonts w:hint="eastAsia"/>
        </w:rPr>
        <w:t>街坊</w:t>
      </w:r>
      <w:r>
        <w:rPr>
          <w:rFonts w:ascii="宋体" w:hAnsi="宋体" w:hint="eastAsia"/>
          <w:szCs w:val="28"/>
        </w:rPr>
        <w:t>进行调整，其调整主要内容如下：</w:t>
      </w:r>
    </w:p>
    <w:p w:rsidR="009F534E" w:rsidRDefault="00E64051" w:rsidP="006C6AAE">
      <w:pPr>
        <w:spacing w:beforeLines="50" w:before="156" w:afterLines="50" w:after="156" w:line="360" w:lineRule="auto"/>
        <w:ind w:firstLine="560"/>
        <w:rPr>
          <w:rFonts w:ascii="宋体" w:hAnsi="宋体"/>
          <w:szCs w:val="28"/>
        </w:rPr>
      </w:pPr>
      <w:r>
        <w:rPr>
          <w:rFonts w:ascii="宋体" w:hAnsi="宋体" w:hint="eastAsia"/>
          <w:szCs w:val="28"/>
        </w:rPr>
        <w:t>1、依据《沁源县自然资源局关于对开展沁源县城东片区控制性详细规划</w:t>
      </w:r>
      <w:r>
        <w:rPr>
          <w:rFonts w:hint="eastAsia"/>
        </w:rPr>
        <w:t>B-30-01-01</w:t>
      </w:r>
      <w:r>
        <w:rPr>
          <w:rFonts w:ascii="宋体" w:hAnsi="宋体" w:hint="eastAsia"/>
          <w:szCs w:val="28"/>
        </w:rPr>
        <w:t>地块调整工作的请示》，我院决定对</w:t>
      </w:r>
      <w:r>
        <w:rPr>
          <w:rFonts w:hint="eastAsia"/>
        </w:rPr>
        <w:t>B-30-01-01</w:t>
      </w:r>
      <w:r>
        <w:rPr>
          <w:rFonts w:ascii="宋体" w:hAnsi="宋体" w:hint="eastAsia"/>
          <w:szCs w:val="28"/>
        </w:rPr>
        <w:t>地块作如下调整：将</w:t>
      </w:r>
      <w:r>
        <w:rPr>
          <w:rFonts w:hint="eastAsia"/>
        </w:rPr>
        <w:t>B-30-01-01</w:t>
      </w:r>
      <w:r>
        <w:rPr>
          <w:rFonts w:hint="eastAsia"/>
        </w:rPr>
        <w:t>地块的用地性质由</w:t>
      </w:r>
      <w:r>
        <w:rPr>
          <w:rFonts w:hint="eastAsia"/>
        </w:rPr>
        <w:t>B11</w:t>
      </w:r>
      <w:r>
        <w:rPr>
          <w:rFonts w:hint="eastAsia"/>
        </w:rPr>
        <w:t>调整为</w:t>
      </w:r>
      <w:r>
        <w:rPr>
          <w:rFonts w:hint="eastAsia"/>
        </w:rPr>
        <w:t>R2</w:t>
      </w:r>
      <w:r>
        <w:rPr>
          <w:rFonts w:hint="eastAsia"/>
        </w:rPr>
        <w:t>，容积率由</w:t>
      </w:r>
      <w:r>
        <w:rPr>
          <w:rFonts w:hint="eastAsia"/>
        </w:rPr>
        <w:t>1.8</w:t>
      </w:r>
      <w:r>
        <w:rPr>
          <w:rFonts w:hint="eastAsia"/>
        </w:rPr>
        <w:t>调整为</w:t>
      </w:r>
      <w:r>
        <w:rPr>
          <w:rFonts w:hint="eastAsia"/>
        </w:rPr>
        <w:t>2.0</w:t>
      </w:r>
      <w:r>
        <w:rPr>
          <w:rFonts w:hint="eastAsia"/>
        </w:rPr>
        <w:t>，建筑密度由</w:t>
      </w:r>
      <w:r>
        <w:rPr>
          <w:rFonts w:hint="eastAsia"/>
        </w:rPr>
        <w:t>40%</w:t>
      </w:r>
      <w:r>
        <w:rPr>
          <w:rFonts w:hint="eastAsia"/>
        </w:rPr>
        <w:t>调整为</w:t>
      </w:r>
      <w:r>
        <w:rPr>
          <w:rFonts w:hint="eastAsia"/>
        </w:rPr>
        <w:t>20%</w:t>
      </w:r>
      <w:r>
        <w:rPr>
          <w:rFonts w:hint="eastAsia"/>
        </w:rPr>
        <w:t>，建筑高度由</w:t>
      </w:r>
      <w:r>
        <w:rPr>
          <w:rFonts w:hint="eastAsia"/>
        </w:rPr>
        <w:t>20m</w:t>
      </w:r>
      <w:r>
        <w:rPr>
          <w:rFonts w:hint="eastAsia"/>
        </w:rPr>
        <w:t>调整为</w:t>
      </w:r>
      <w:r>
        <w:rPr>
          <w:rFonts w:hint="eastAsia"/>
        </w:rPr>
        <w:t>40m</w:t>
      </w:r>
      <w:r>
        <w:rPr>
          <w:rFonts w:hint="eastAsia"/>
        </w:rPr>
        <w:t>，绿地率由</w:t>
      </w:r>
      <w:r>
        <w:rPr>
          <w:rFonts w:hint="eastAsia"/>
        </w:rPr>
        <w:t>30%</w:t>
      </w:r>
      <w:r>
        <w:rPr>
          <w:rFonts w:hint="eastAsia"/>
        </w:rPr>
        <w:t>调整为</w:t>
      </w:r>
      <w:r>
        <w:rPr>
          <w:rFonts w:hint="eastAsia"/>
        </w:rPr>
        <w:t>35%</w:t>
      </w:r>
      <w:r>
        <w:rPr>
          <w:rFonts w:hint="eastAsia"/>
        </w:rPr>
        <w:t>。</w:t>
      </w:r>
    </w:p>
    <w:p w:rsidR="009F534E" w:rsidRDefault="00F66782" w:rsidP="006C6AAE">
      <w:pPr>
        <w:spacing w:beforeLines="50" w:before="156" w:afterLines="50" w:after="156" w:line="360" w:lineRule="auto"/>
        <w:ind w:firstLine="560"/>
        <w:rPr>
          <w:rFonts w:ascii="宋体" w:hAnsi="宋体"/>
          <w:szCs w:val="28"/>
        </w:rPr>
      </w:pPr>
      <w:r>
        <w:rPr>
          <w:rFonts w:ascii="宋体" w:hAnsi="宋体"/>
          <w:szCs w:val="28"/>
        </w:rPr>
        <w:pict>
          <v:shape id="图片框 1035" o:spid="_x0000_s1031" type="#_x0000_t75" style="position:absolute;left:0;text-align:left;margin-left:-9.5pt;margin-top:33.2pt;width:428.75pt;height:213.6pt;z-index:6;mso-wrap-distance-top:0;mso-wrap-distance-bottom:0">
            <v:imagedata r:id="rId17" o:title="B-30 31调整方案 - 副本-Model" croptop="12093f" cropbottom="10545f" cropleft="2380f" cropright="2261f"/>
            <w10:wrap type="topAndBottom"/>
          </v:shape>
        </w:pict>
      </w:r>
      <w:r>
        <w:pict>
          <v:rect id="文本框 9" o:spid="_x0000_s1032" style="position:absolute;left:0;text-align:left;margin-left:-1.05pt;margin-top:7.5pt;width:249.5pt;height:31.7pt;z-index:3" o:preferrelative="t" filled="f" stroked="f">
            <v:textbox>
              <w:txbxContent>
                <w:p w:rsidR="009F534E" w:rsidRDefault="00E64051">
                  <w:pPr>
                    <w:ind w:firstLineChars="0" w:firstLine="0"/>
                    <w:rPr>
                      <w:rFonts w:ascii="黑体" w:eastAsia="黑体" w:hAnsi="黑体"/>
                      <w:sz w:val="24"/>
                      <w:szCs w:val="21"/>
                    </w:rPr>
                  </w:pPr>
                  <w:r>
                    <w:rPr>
                      <w:rFonts w:ascii="黑体" w:eastAsia="黑体" w:hAnsi="黑体" w:hint="eastAsia"/>
                      <w:sz w:val="24"/>
                      <w:szCs w:val="21"/>
                    </w:rPr>
                    <w:t>B-30</w:t>
                  </w:r>
                  <w:r>
                    <w:rPr>
                      <w:rFonts w:ascii="黑体" w:eastAsia="黑体" w:hAnsi="黑体" w:hint="eastAsia"/>
                      <w:sz w:val="24"/>
                      <w:szCs w:val="21"/>
                    </w:rPr>
                    <w:t>街坊调整前后对比图：</w:t>
                  </w:r>
                </w:p>
              </w:txbxContent>
            </v:textbox>
          </v:rect>
        </w:pict>
      </w:r>
    </w:p>
    <w:p w:rsidR="009F534E" w:rsidRDefault="009F534E" w:rsidP="006C6AAE">
      <w:pPr>
        <w:spacing w:beforeLines="50" w:before="156" w:afterLines="50" w:after="156" w:line="360" w:lineRule="auto"/>
        <w:ind w:firstLine="560"/>
        <w:rPr>
          <w:rFonts w:ascii="宋体" w:hAnsi="宋体"/>
          <w:szCs w:val="28"/>
        </w:rPr>
      </w:pPr>
    </w:p>
    <w:p w:rsidR="00E72F60" w:rsidRDefault="00E72F60" w:rsidP="006C6AAE">
      <w:pPr>
        <w:spacing w:beforeLines="50" w:before="156" w:afterLines="50" w:after="156" w:line="360" w:lineRule="auto"/>
        <w:ind w:firstLine="560"/>
        <w:rPr>
          <w:rFonts w:ascii="宋体" w:hAnsi="宋体"/>
          <w:szCs w:val="28"/>
        </w:rPr>
      </w:pPr>
    </w:p>
    <w:p w:rsidR="009F534E" w:rsidRDefault="00F66782" w:rsidP="006C6AAE">
      <w:pPr>
        <w:spacing w:beforeLines="50" w:before="156" w:afterLines="50" w:after="156" w:line="360" w:lineRule="auto"/>
        <w:ind w:firstLine="560"/>
        <w:rPr>
          <w:rFonts w:ascii="宋体" w:hAnsi="宋体"/>
          <w:szCs w:val="28"/>
        </w:rPr>
      </w:pPr>
      <w:r>
        <w:lastRenderedPageBreak/>
        <w:pict>
          <v:rect id="文本框 6" o:spid="_x0000_s1033" style="position:absolute;left:0;text-align:left;margin-left:96.65pt;margin-top:5.2pt;width:249.5pt;height:31.7pt;z-index:1" o:preferrelative="t" filled="f" stroked="f">
            <v:textbox>
              <w:txbxContent>
                <w:p w:rsidR="009F534E" w:rsidRDefault="00E64051">
                  <w:pPr>
                    <w:ind w:firstLineChars="0" w:firstLine="0"/>
                    <w:rPr>
                      <w:rFonts w:ascii="黑体" w:eastAsia="黑体" w:hAnsi="黑体"/>
                    </w:rPr>
                  </w:pPr>
                  <w:r>
                    <w:rPr>
                      <w:rFonts w:ascii="黑体" w:eastAsia="黑体" w:hAnsi="黑体" w:hint="eastAsia"/>
                    </w:rPr>
                    <w:t xml:space="preserve">调整前后对比一览表        </w:t>
                  </w:r>
                  <w:r>
                    <w:rPr>
                      <w:rFonts w:ascii="黑体" w:eastAsia="黑体" w:hAnsi="黑体" w:hint="eastAsia"/>
                    </w:rPr>
                    <w:t>表一</w:t>
                  </w:r>
                </w:p>
              </w:txbxContent>
            </v:textbox>
          </v:rect>
        </w:pict>
      </w:r>
    </w:p>
    <w:tbl>
      <w:tblPr>
        <w:tblW w:w="8273" w:type="dxa"/>
        <w:tblLayout w:type="fixed"/>
        <w:tblCellMar>
          <w:left w:w="15" w:type="dxa"/>
          <w:right w:w="15" w:type="dxa"/>
        </w:tblCellMar>
        <w:tblLook w:val="04A0" w:firstRow="1" w:lastRow="0" w:firstColumn="1" w:lastColumn="0" w:noHBand="0" w:noVBand="1"/>
      </w:tblPr>
      <w:tblGrid>
        <w:gridCol w:w="662"/>
        <w:gridCol w:w="913"/>
        <w:gridCol w:w="1253"/>
        <w:gridCol w:w="556"/>
        <w:gridCol w:w="1092"/>
        <w:gridCol w:w="696"/>
        <w:gridCol w:w="756"/>
        <w:gridCol w:w="937"/>
        <w:gridCol w:w="704"/>
        <w:gridCol w:w="704"/>
      </w:tblGrid>
      <w:tr w:rsidR="006C6AAE" w:rsidTr="006C6AAE">
        <w:trPr>
          <w:trHeight w:val="989"/>
        </w:trPr>
        <w:tc>
          <w:tcPr>
            <w:tcW w:w="1575" w:type="dxa"/>
            <w:gridSpan w:val="2"/>
            <w:tcBorders>
              <w:top w:val="single" w:sz="4" w:space="0" w:color="000000"/>
              <w:left w:val="single" w:sz="4" w:space="0" w:color="000000"/>
              <w:right w:val="single" w:sz="4" w:space="0" w:color="000000"/>
            </w:tcBorders>
            <w:shd w:val="solid" w:color="99CCFF" w:fill="auto"/>
            <w:vAlign w:val="center"/>
          </w:tcPr>
          <w:p w:rsidR="006C6AAE" w:rsidRDefault="006C6AAE" w:rsidP="006C6AAE">
            <w:pPr>
              <w:shd w:val="solid" w:color="99CCFF" w:fill="auto"/>
              <w:autoSpaceDN w:val="0"/>
              <w:ind w:firstLineChars="0" w:firstLine="0"/>
              <w:jc w:val="center"/>
              <w:textAlignment w:val="center"/>
              <w:rPr>
                <w:rFonts w:ascii="黑体" w:eastAsia="黑体" w:hAnsi="黑体"/>
                <w:color w:val="000000"/>
                <w:sz w:val="22"/>
                <w:szCs w:val="18"/>
                <w:shd w:val="clear" w:color="auto" w:fill="99CCFF"/>
              </w:rPr>
            </w:pPr>
            <w:r>
              <w:rPr>
                <w:rFonts w:ascii="黑体" w:eastAsia="黑体" w:hAnsi="黑体"/>
                <w:color w:val="000000"/>
                <w:sz w:val="22"/>
                <w:szCs w:val="18"/>
                <w:shd w:val="clear" w:color="auto" w:fill="99CCFF"/>
              </w:rPr>
              <w:t>街坊编号</w:t>
            </w:r>
          </w:p>
        </w:tc>
        <w:tc>
          <w:tcPr>
            <w:tcW w:w="1253" w:type="dxa"/>
            <w:tcBorders>
              <w:top w:val="single" w:sz="4" w:space="0" w:color="000000"/>
              <w:left w:val="single" w:sz="4" w:space="0" w:color="000000"/>
              <w:right w:val="single" w:sz="4" w:space="0" w:color="000000"/>
            </w:tcBorders>
            <w:shd w:val="solid" w:color="99CCFF" w:fill="auto"/>
            <w:vAlign w:val="center"/>
          </w:tcPr>
          <w:p w:rsidR="006C6AAE" w:rsidRDefault="006C6AAE" w:rsidP="006C6AAE">
            <w:pPr>
              <w:shd w:val="solid" w:color="99CCFF" w:fill="auto"/>
              <w:autoSpaceDN w:val="0"/>
              <w:ind w:firstLineChars="0" w:firstLine="0"/>
              <w:jc w:val="center"/>
              <w:textAlignment w:val="center"/>
              <w:rPr>
                <w:rFonts w:ascii="黑体" w:eastAsia="黑体" w:hAnsi="黑体"/>
                <w:color w:val="000000"/>
                <w:sz w:val="22"/>
                <w:szCs w:val="18"/>
                <w:shd w:val="clear" w:color="auto" w:fill="99CCFF"/>
              </w:rPr>
            </w:pPr>
            <w:r>
              <w:rPr>
                <w:rFonts w:ascii="黑体" w:eastAsia="黑体" w:hAnsi="黑体"/>
                <w:color w:val="000000"/>
                <w:sz w:val="22"/>
                <w:szCs w:val="18"/>
                <w:shd w:val="clear" w:color="auto" w:fill="99CCFF"/>
              </w:rPr>
              <w:t>地块编号</w:t>
            </w:r>
          </w:p>
        </w:tc>
        <w:tc>
          <w:tcPr>
            <w:tcW w:w="556" w:type="dxa"/>
            <w:tcBorders>
              <w:top w:val="single" w:sz="4" w:space="0" w:color="000000"/>
              <w:left w:val="single" w:sz="4" w:space="0" w:color="000000"/>
              <w:right w:val="single" w:sz="4" w:space="0" w:color="000000"/>
            </w:tcBorders>
            <w:shd w:val="solid" w:color="99CCFF" w:fill="auto"/>
            <w:vAlign w:val="center"/>
          </w:tcPr>
          <w:p w:rsidR="006C6AAE" w:rsidRDefault="006C6AAE" w:rsidP="006C6AAE">
            <w:pPr>
              <w:shd w:val="solid" w:color="99CCFF" w:fill="auto"/>
              <w:autoSpaceDN w:val="0"/>
              <w:ind w:firstLineChars="0" w:firstLine="0"/>
              <w:jc w:val="center"/>
              <w:textAlignment w:val="center"/>
              <w:rPr>
                <w:rFonts w:ascii="黑体" w:eastAsia="黑体" w:hAnsi="黑体"/>
                <w:color w:val="000000"/>
                <w:sz w:val="22"/>
                <w:szCs w:val="18"/>
                <w:shd w:val="clear" w:color="auto" w:fill="99CCFF"/>
              </w:rPr>
            </w:pPr>
            <w:r>
              <w:rPr>
                <w:rFonts w:ascii="黑体" w:eastAsia="黑体" w:hAnsi="黑体"/>
                <w:color w:val="000000"/>
                <w:sz w:val="22"/>
                <w:szCs w:val="18"/>
                <w:shd w:val="clear" w:color="auto" w:fill="99CCFF"/>
              </w:rPr>
              <w:t>用地性质</w:t>
            </w:r>
          </w:p>
        </w:tc>
        <w:tc>
          <w:tcPr>
            <w:tcW w:w="1092" w:type="dxa"/>
            <w:tcBorders>
              <w:top w:val="single" w:sz="4" w:space="0" w:color="000000"/>
              <w:left w:val="single" w:sz="4" w:space="0" w:color="000000"/>
              <w:right w:val="single" w:sz="4" w:space="0" w:color="000000"/>
            </w:tcBorders>
            <w:shd w:val="solid" w:color="99CCFF" w:fill="auto"/>
            <w:vAlign w:val="center"/>
          </w:tcPr>
          <w:p w:rsidR="006C6AAE" w:rsidRDefault="006C6AAE" w:rsidP="006C6AAE">
            <w:pPr>
              <w:shd w:val="solid" w:color="99CCFF" w:fill="auto"/>
              <w:autoSpaceDN w:val="0"/>
              <w:ind w:firstLineChars="0" w:firstLine="0"/>
              <w:jc w:val="center"/>
              <w:textAlignment w:val="center"/>
              <w:rPr>
                <w:rFonts w:ascii="黑体" w:eastAsia="黑体" w:hAnsi="黑体"/>
                <w:color w:val="000000"/>
                <w:sz w:val="22"/>
                <w:szCs w:val="18"/>
                <w:shd w:val="clear" w:color="auto" w:fill="99CCFF"/>
              </w:rPr>
            </w:pPr>
            <w:r>
              <w:rPr>
                <w:rFonts w:ascii="黑体" w:eastAsia="黑体" w:hAnsi="黑体"/>
                <w:color w:val="000000"/>
                <w:sz w:val="22"/>
                <w:szCs w:val="18"/>
                <w:shd w:val="clear" w:color="auto" w:fill="99CCFF"/>
              </w:rPr>
              <w:t>地块面积（</w:t>
            </w:r>
            <w:r>
              <w:rPr>
                <w:rFonts w:ascii="黑体" w:eastAsia="黑体" w:hAnsi="黑体" w:hint="eastAsia"/>
                <w:color w:val="000000"/>
                <w:sz w:val="22"/>
                <w:szCs w:val="18"/>
                <w:shd w:val="clear" w:color="auto" w:fill="99CCFF"/>
              </w:rPr>
              <w:t>m</w:t>
            </w:r>
            <w:r>
              <w:rPr>
                <w:rFonts w:ascii="黑体" w:eastAsia="黑体" w:hAnsi="黑体"/>
                <w:color w:val="000000"/>
                <w:sz w:val="22"/>
                <w:szCs w:val="18"/>
                <w:shd w:val="clear" w:color="auto" w:fill="99CCFF"/>
                <w:vertAlign w:val="superscript"/>
              </w:rPr>
              <w:t>2</w:t>
            </w:r>
            <w:r>
              <w:rPr>
                <w:rFonts w:ascii="黑体" w:eastAsia="黑体" w:hAnsi="黑体"/>
                <w:color w:val="000000"/>
                <w:sz w:val="22"/>
                <w:szCs w:val="18"/>
                <w:shd w:val="clear" w:color="auto" w:fill="99CCFF"/>
              </w:rPr>
              <w:t>）</w:t>
            </w:r>
          </w:p>
        </w:tc>
        <w:tc>
          <w:tcPr>
            <w:tcW w:w="696" w:type="dxa"/>
            <w:tcBorders>
              <w:top w:val="single" w:sz="4" w:space="0" w:color="000000"/>
              <w:left w:val="single" w:sz="4" w:space="0" w:color="000000"/>
              <w:right w:val="single" w:sz="4" w:space="0" w:color="000000"/>
            </w:tcBorders>
            <w:shd w:val="solid" w:color="99CCFF" w:fill="auto"/>
            <w:vAlign w:val="center"/>
          </w:tcPr>
          <w:p w:rsidR="006C6AAE" w:rsidRDefault="006C6AAE" w:rsidP="006C6AAE">
            <w:pPr>
              <w:shd w:val="solid" w:color="99CCFF" w:fill="auto"/>
              <w:autoSpaceDN w:val="0"/>
              <w:ind w:firstLineChars="0" w:firstLine="0"/>
              <w:jc w:val="center"/>
              <w:textAlignment w:val="center"/>
              <w:rPr>
                <w:rFonts w:ascii="黑体" w:eastAsia="黑体" w:hAnsi="黑体"/>
                <w:color w:val="000000"/>
                <w:sz w:val="22"/>
                <w:szCs w:val="18"/>
                <w:shd w:val="clear" w:color="auto" w:fill="99CCFF"/>
              </w:rPr>
            </w:pPr>
            <w:r>
              <w:rPr>
                <w:rFonts w:ascii="黑体" w:eastAsia="黑体" w:hAnsi="黑体"/>
                <w:color w:val="000000"/>
                <w:sz w:val="22"/>
                <w:szCs w:val="18"/>
                <w:shd w:val="clear" w:color="auto" w:fill="99CCFF"/>
              </w:rPr>
              <w:t>容积率</w:t>
            </w:r>
          </w:p>
        </w:tc>
        <w:tc>
          <w:tcPr>
            <w:tcW w:w="756" w:type="dxa"/>
            <w:tcBorders>
              <w:top w:val="single" w:sz="4" w:space="0" w:color="000000"/>
              <w:left w:val="single" w:sz="4" w:space="0" w:color="000000"/>
              <w:right w:val="single" w:sz="4" w:space="0" w:color="000000"/>
            </w:tcBorders>
            <w:shd w:val="solid" w:color="99CCFF" w:fill="auto"/>
            <w:vAlign w:val="center"/>
          </w:tcPr>
          <w:p w:rsidR="006C6AAE" w:rsidRDefault="006C6AAE" w:rsidP="006C6AAE">
            <w:pPr>
              <w:shd w:val="solid" w:color="99CCFF" w:fill="auto"/>
              <w:autoSpaceDN w:val="0"/>
              <w:ind w:firstLineChars="0" w:firstLine="0"/>
              <w:jc w:val="center"/>
              <w:textAlignment w:val="center"/>
              <w:rPr>
                <w:rFonts w:ascii="黑体" w:eastAsia="黑体" w:hAnsi="黑体"/>
                <w:color w:val="000000"/>
                <w:sz w:val="22"/>
                <w:szCs w:val="18"/>
                <w:shd w:val="clear" w:color="auto" w:fill="99CCFF"/>
              </w:rPr>
            </w:pPr>
            <w:r>
              <w:rPr>
                <w:rFonts w:ascii="黑体" w:eastAsia="黑体" w:hAnsi="黑体"/>
                <w:color w:val="000000"/>
                <w:sz w:val="22"/>
                <w:szCs w:val="18"/>
                <w:shd w:val="clear" w:color="auto" w:fill="99CCFF"/>
              </w:rPr>
              <w:t>建筑面积（</w:t>
            </w:r>
            <w:r>
              <w:rPr>
                <w:rFonts w:ascii="黑体" w:eastAsia="黑体" w:hAnsi="黑体" w:hint="eastAsia"/>
                <w:color w:val="000000"/>
                <w:sz w:val="22"/>
                <w:szCs w:val="18"/>
                <w:shd w:val="clear" w:color="auto" w:fill="99CCFF"/>
              </w:rPr>
              <w:t>m</w:t>
            </w:r>
            <w:r>
              <w:rPr>
                <w:rFonts w:ascii="黑体" w:eastAsia="黑体" w:hAnsi="黑体"/>
                <w:color w:val="000000"/>
                <w:sz w:val="22"/>
                <w:szCs w:val="18"/>
                <w:shd w:val="clear" w:color="auto" w:fill="99CCFF"/>
                <w:vertAlign w:val="superscript"/>
              </w:rPr>
              <w:t>2</w:t>
            </w:r>
            <w:r>
              <w:rPr>
                <w:rFonts w:ascii="黑体" w:eastAsia="黑体" w:hAnsi="黑体"/>
                <w:color w:val="000000"/>
                <w:sz w:val="22"/>
                <w:szCs w:val="18"/>
                <w:shd w:val="clear" w:color="auto" w:fill="99CCFF"/>
              </w:rPr>
              <w:t>）</w:t>
            </w:r>
          </w:p>
        </w:tc>
        <w:tc>
          <w:tcPr>
            <w:tcW w:w="937" w:type="dxa"/>
            <w:tcBorders>
              <w:top w:val="single" w:sz="4" w:space="0" w:color="000000"/>
              <w:left w:val="single" w:sz="4" w:space="0" w:color="000000"/>
              <w:right w:val="single" w:sz="4" w:space="0" w:color="000000"/>
            </w:tcBorders>
            <w:shd w:val="solid" w:color="99CCFF" w:fill="auto"/>
            <w:vAlign w:val="center"/>
          </w:tcPr>
          <w:p w:rsidR="006C6AAE" w:rsidRDefault="006C6AAE" w:rsidP="006C6AAE">
            <w:pPr>
              <w:shd w:val="solid" w:color="99CCFF" w:fill="auto"/>
              <w:autoSpaceDN w:val="0"/>
              <w:ind w:firstLineChars="0" w:firstLine="0"/>
              <w:jc w:val="center"/>
              <w:textAlignment w:val="center"/>
              <w:rPr>
                <w:rFonts w:ascii="黑体" w:eastAsia="黑体" w:hAnsi="黑体"/>
                <w:color w:val="000000"/>
                <w:sz w:val="22"/>
                <w:szCs w:val="18"/>
                <w:shd w:val="clear" w:color="auto" w:fill="99CCFF"/>
              </w:rPr>
            </w:pPr>
            <w:r>
              <w:rPr>
                <w:rFonts w:ascii="黑体" w:eastAsia="黑体" w:hAnsi="黑体"/>
                <w:color w:val="000000"/>
                <w:sz w:val="22"/>
                <w:szCs w:val="18"/>
                <w:shd w:val="clear" w:color="auto" w:fill="99CCFF"/>
              </w:rPr>
              <w:t>建筑密度（%）</w:t>
            </w:r>
          </w:p>
        </w:tc>
        <w:tc>
          <w:tcPr>
            <w:tcW w:w="704" w:type="dxa"/>
            <w:tcBorders>
              <w:top w:val="single" w:sz="4" w:space="0" w:color="000000"/>
              <w:left w:val="single" w:sz="4" w:space="0" w:color="000000"/>
              <w:right w:val="single" w:sz="4" w:space="0" w:color="000000"/>
            </w:tcBorders>
            <w:shd w:val="solid" w:color="99CCFF" w:fill="auto"/>
            <w:vAlign w:val="center"/>
          </w:tcPr>
          <w:p w:rsidR="006C6AAE" w:rsidRDefault="006C6AAE" w:rsidP="006C6AAE">
            <w:pPr>
              <w:shd w:val="solid" w:color="99CCFF" w:fill="auto"/>
              <w:autoSpaceDN w:val="0"/>
              <w:ind w:firstLineChars="0" w:firstLine="0"/>
              <w:jc w:val="center"/>
              <w:textAlignment w:val="center"/>
              <w:rPr>
                <w:rFonts w:ascii="黑体" w:eastAsia="黑体" w:hAnsi="黑体"/>
                <w:color w:val="000000"/>
                <w:sz w:val="22"/>
                <w:szCs w:val="18"/>
                <w:shd w:val="clear" w:color="auto" w:fill="99CCFF"/>
              </w:rPr>
            </w:pPr>
            <w:r>
              <w:rPr>
                <w:rFonts w:ascii="黑体" w:eastAsia="黑体" w:hAnsi="黑体"/>
                <w:color w:val="000000"/>
                <w:sz w:val="22"/>
                <w:szCs w:val="18"/>
                <w:shd w:val="clear" w:color="auto" w:fill="99CCFF"/>
              </w:rPr>
              <w:t>建筑高度（</w:t>
            </w:r>
            <w:r>
              <w:rPr>
                <w:rFonts w:ascii="黑体" w:eastAsia="黑体" w:hAnsi="黑体" w:hint="eastAsia"/>
                <w:color w:val="000000"/>
                <w:sz w:val="22"/>
                <w:szCs w:val="18"/>
                <w:shd w:val="clear" w:color="auto" w:fill="99CCFF"/>
              </w:rPr>
              <w:t>m</w:t>
            </w:r>
            <w:r>
              <w:rPr>
                <w:rFonts w:ascii="黑体" w:eastAsia="黑体" w:hAnsi="黑体"/>
                <w:color w:val="000000"/>
                <w:sz w:val="22"/>
                <w:szCs w:val="18"/>
                <w:shd w:val="clear" w:color="auto" w:fill="99CCFF"/>
              </w:rPr>
              <w:t>）</w:t>
            </w:r>
          </w:p>
        </w:tc>
        <w:tc>
          <w:tcPr>
            <w:tcW w:w="704" w:type="dxa"/>
            <w:tcBorders>
              <w:top w:val="single" w:sz="4" w:space="0" w:color="000000"/>
              <w:left w:val="single" w:sz="4" w:space="0" w:color="000000"/>
              <w:right w:val="single" w:sz="4" w:space="0" w:color="000000"/>
            </w:tcBorders>
            <w:shd w:val="solid" w:color="99CCFF" w:fill="auto"/>
            <w:vAlign w:val="center"/>
          </w:tcPr>
          <w:p w:rsidR="006C6AAE" w:rsidRDefault="006C6AAE" w:rsidP="006C6AAE">
            <w:pPr>
              <w:shd w:val="solid" w:color="99CCFF" w:fill="auto"/>
              <w:autoSpaceDN w:val="0"/>
              <w:ind w:firstLineChars="0" w:firstLine="0"/>
              <w:jc w:val="center"/>
              <w:textAlignment w:val="center"/>
              <w:rPr>
                <w:rFonts w:ascii="黑体" w:eastAsia="黑体" w:hAnsi="黑体"/>
                <w:color w:val="000000"/>
                <w:sz w:val="22"/>
                <w:szCs w:val="18"/>
                <w:shd w:val="clear" w:color="auto" w:fill="99CCFF"/>
              </w:rPr>
            </w:pPr>
            <w:r>
              <w:rPr>
                <w:rFonts w:ascii="黑体" w:eastAsia="黑体" w:hAnsi="黑体"/>
                <w:color w:val="000000"/>
                <w:sz w:val="22"/>
                <w:szCs w:val="18"/>
                <w:shd w:val="clear" w:color="auto" w:fill="99CCFF"/>
              </w:rPr>
              <w:t>绿地率（%）</w:t>
            </w:r>
          </w:p>
        </w:tc>
      </w:tr>
      <w:tr w:rsidR="006C6AAE" w:rsidTr="006C6AAE">
        <w:trPr>
          <w:trHeight w:val="892"/>
        </w:trPr>
        <w:tc>
          <w:tcPr>
            <w:tcW w:w="662" w:type="dxa"/>
            <w:vMerge w:val="restart"/>
            <w:tcBorders>
              <w:top w:val="single" w:sz="4" w:space="0" w:color="000000"/>
              <w:left w:val="single" w:sz="4" w:space="0" w:color="000000"/>
              <w:bottom w:val="single" w:sz="4" w:space="0" w:color="000000"/>
              <w:right w:val="single" w:sz="4" w:space="0" w:color="000000"/>
            </w:tcBorders>
            <w:shd w:val="solid" w:color="CCFFFF" w:fill="auto"/>
            <w:vAlign w:val="center"/>
          </w:tcPr>
          <w:p w:rsidR="006C6AAE" w:rsidRDefault="006C6AAE" w:rsidP="006C6AAE">
            <w:pPr>
              <w:shd w:val="solid" w:color="CCFFFF" w:fill="auto"/>
              <w:autoSpaceDN w:val="0"/>
              <w:ind w:firstLineChars="0" w:firstLine="0"/>
              <w:jc w:val="center"/>
              <w:textAlignment w:val="center"/>
              <w:rPr>
                <w:rFonts w:ascii="黑体" w:eastAsia="黑体" w:hAnsi="黑体"/>
                <w:color w:val="000000"/>
                <w:sz w:val="22"/>
                <w:szCs w:val="18"/>
                <w:shd w:val="clear" w:color="auto" w:fill="CCFFFF"/>
              </w:rPr>
            </w:pPr>
            <w:r>
              <w:rPr>
                <w:rFonts w:ascii="黑体" w:eastAsia="黑体" w:hAnsi="黑体"/>
                <w:color w:val="000000"/>
                <w:sz w:val="22"/>
                <w:szCs w:val="18"/>
                <w:shd w:val="clear" w:color="auto" w:fill="CCFFFF"/>
              </w:rPr>
              <w:t>B-30</w:t>
            </w:r>
          </w:p>
        </w:tc>
        <w:tc>
          <w:tcPr>
            <w:tcW w:w="913" w:type="dxa"/>
            <w:tcBorders>
              <w:top w:val="single" w:sz="4" w:space="0" w:color="000000"/>
              <w:bottom w:val="single" w:sz="4" w:space="0" w:color="000000"/>
              <w:right w:val="single" w:sz="4" w:space="0" w:color="000000"/>
            </w:tcBorders>
            <w:shd w:val="solid" w:color="FFCC99" w:fill="auto"/>
            <w:vAlign w:val="center"/>
          </w:tcPr>
          <w:p w:rsidR="006C6AAE" w:rsidRDefault="006C6AAE" w:rsidP="006C6AAE">
            <w:pPr>
              <w:shd w:val="solid" w:color="FFCC99" w:fill="auto"/>
              <w:autoSpaceDN w:val="0"/>
              <w:ind w:firstLineChars="0" w:firstLine="0"/>
              <w:jc w:val="center"/>
              <w:textAlignment w:val="center"/>
              <w:rPr>
                <w:rFonts w:ascii="黑体" w:eastAsia="黑体" w:hAnsi="黑体"/>
                <w:color w:val="FF0000"/>
                <w:sz w:val="22"/>
                <w:szCs w:val="18"/>
                <w:shd w:val="clear" w:color="auto" w:fill="FFCC99"/>
              </w:rPr>
            </w:pPr>
            <w:r>
              <w:rPr>
                <w:rFonts w:ascii="黑体" w:eastAsia="黑体" w:hAnsi="黑体"/>
                <w:color w:val="FF0000"/>
                <w:sz w:val="22"/>
                <w:szCs w:val="18"/>
                <w:shd w:val="clear" w:color="auto" w:fill="FFCC99"/>
              </w:rPr>
              <w:t>原规划</w:t>
            </w:r>
          </w:p>
        </w:tc>
        <w:tc>
          <w:tcPr>
            <w:tcW w:w="1253" w:type="dxa"/>
            <w:tcBorders>
              <w:top w:val="single" w:sz="4" w:space="0" w:color="000000"/>
              <w:left w:val="single" w:sz="4" w:space="0" w:color="000000"/>
              <w:bottom w:val="single" w:sz="4" w:space="0" w:color="000000"/>
              <w:right w:val="single" w:sz="4" w:space="0" w:color="000000"/>
            </w:tcBorders>
            <w:shd w:val="solid" w:color="FFCC99" w:fill="auto"/>
            <w:vAlign w:val="center"/>
          </w:tcPr>
          <w:p w:rsidR="006C6AAE" w:rsidRDefault="006C6AAE" w:rsidP="006C6AAE">
            <w:pPr>
              <w:shd w:val="solid" w:color="FFCC99" w:fill="auto"/>
              <w:autoSpaceDN w:val="0"/>
              <w:ind w:firstLineChars="0" w:firstLine="0"/>
              <w:jc w:val="center"/>
              <w:textAlignment w:val="center"/>
              <w:rPr>
                <w:rFonts w:ascii="黑体" w:eastAsia="黑体" w:hAnsi="黑体"/>
                <w:color w:val="FF0000"/>
                <w:sz w:val="22"/>
                <w:szCs w:val="18"/>
                <w:shd w:val="clear" w:color="auto" w:fill="FFCC99"/>
              </w:rPr>
            </w:pPr>
            <w:r>
              <w:rPr>
                <w:rFonts w:ascii="黑体" w:eastAsia="黑体" w:hAnsi="黑体"/>
                <w:color w:val="FF0000"/>
                <w:sz w:val="22"/>
                <w:szCs w:val="18"/>
                <w:shd w:val="clear" w:color="auto" w:fill="FFCC99"/>
              </w:rPr>
              <w:t>B-30-01-01</w:t>
            </w:r>
          </w:p>
        </w:tc>
        <w:tc>
          <w:tcPr>
            <w:tcW w:w="556" w:type="dxa"/>
            <w:tcBorders>
              <w:top w:val="single" w:sz="4" w:space="0" w:color="000000"/>
              <w:left w:val="single" w:sz="4" w:space="0" w:color="000000"/>
              <w:bottom w:val="single" w:sz="4" w:space="0" w:color="000000"/>
              <w:right w:val="single" w:sz="4" w:space="0" w:color="000000"/>
            </w:tcBorders>
            <w:shd w:val="solid" w:color="FFCC99" w:fill="auto"/>
            <w:vAlign w:val="center"/>
          </w:tcPr>
          <w:p w:rsidR="006C6AAE" w:rsidRDefault="006C6AAE" w:rsidP="006C6AAE">
            <w:pPr>
              <w:shd w:val="solid" w:color="FFCC99" w:fill="auto"/>
              <w:autoSpaceDN w:val="0"/>
              <w:ind w:firstLineChars="0" w:firstLine="0"/>
              <w:jc w:val="center"/>
              <w:textAlignment w:val="center"/>
              <w:rPr>
                <w:rFonts w:ascii="黑体" w:eastAsia="黑体" w:hAnsi="黑体"/>
                <w:color w:val="FF0000"/>
                <w:sz w:val="22"/>
                <w:szCs w:val="18"/>
                <w:shd w:val="clear" w:color="auto" w:fill="FFCC99"/>
              </w:rPr>
            </w:pPr>
            <w:r>
              <w:rPr>
                <w:rFonts w:ascii="黑体" w:eastAsia="黑体" w:hAnsi="黑体"/>
                <w:color w:val="FF0000"/>
                <w:sz w:val="22"/>
                <w:szCs w:val="18"/>
                <w:shd w:val="clear" w:color="auto" w:fill="FFCC99"/>
              </w:rPr>
              <w:t>B11</w:t>
            </w:r>
          </w:p>
        </w:tc>
        <w:tc>
          <w:tcPr>
            <w:tcW w:w="1092" w:type="dxa"/>
            <w:tcBorders>
              <w:top w:val="single" w:sz="4" w:space="0" w:color="000000"/>
              <w:left w:val="single" w:sz="4" w:space="0" w:color="000000"/>
              <w:bottom w:val="single" w:sz="4" w:space="0" w:color="000000"/>
              <w:right w:val="single" w:sz="4" w:space="0" w:color="000000"/>
            </w:tcBorders>
            <w:shd w:val="solid" w:color="FFCC99" w:fill="auto"/>
            <w:vAlign w:val="center"/>
          </w:tcPr>
          <w:p w:rsidR="006C6AAE" w:rsidRDefault="006C6AAE" w:rsidP="006C6AAE">
            <w:pPr>
              <w:shd w:val="solid" w:color="FFCC99" w:fill="auto"/>
              <w:autoSpaceDN w:val="0"/>
              <w:ind w:firstLineChars="0" w:firstLine="0"/>
              <w:jc w:val="center"/>
              <w:textAlignment w:val="center"/>
              <w:rPr>
                <w:rFonts w:ascii="黑体" w:eastAsia="黑体" w:hAnsi="黑体"/>
                <w:color w:val="FF0000"/>
                <w:sz w:val="22"/>
                <w:szCs w:val="18"/>
                <w:shd w:val="clear" w:color="auto" w:fill="FFCC99"/>
              </w:rPr>
            </w:pPr>
            <w:r>
              <w:rPr>
                <w:rFonts w:ascii="黑体" w:eastAsia="黑体" w:hAnsi="黑体"/>
                <w:color w:val="FF0000"/>
                <w:sz w:val="22"/>
                <w:szCs w:val="18"/>
                <w:shd w:val="clear" w:color="auto" w:fill="FFCC99"/>
              </w:rPr>
              <w:t>23092.37</w:t>
            </w:r>
          </w:p>
        </w:tc>
        <w:tc>
          <w:tcPr>
            <w:tcW w:w="696" w:type="dxa"/>
            <w:tcBorders>
              <w:top w:val="single" w:sz="4" w:space="0" w:color="000000"/>
              <w:left w:val="single" w:sz="4" w:space="0" w:color="000000"/>
              <w:bottom w:val="single" w:sz="4" w:space="0" w:color="000000"/>
              <w:right w:val="single" w:sz="4" w:space="0" w:color="000000"/>
            </w:tcBorders>
            <w:shd w:val="solid" w:color="FFCC99" w:fill="auto"/>
            <w:vAlign w:val="center"/>
          </w:tcPr>
          <w:p w:rsidR="006C6AAE" w:rsidRDefault="006C6AAE" w:rsidP="006C6AAE">
            <w:pPr>
              <w:shd w:val="solid" w:color="FFCC99" w:fill="auto"/>
              <w:autoSpaceDN w:val="0"/>
              <w:ind w:firstLineChars="0" w:firstLine="0"/>
              <w:jc w:val="center"/>
              <w:textAlignment w:val="center"/>
              <w:rPr>
                <w:rFonts w:ascii="黑体" w:eastAsia="黑体" w:hAnsi="黑体"/>
                <w:color w:val="FF0000"/>
                <w:sz w:val="22"/>
                <w:szCs w:val="18"/>
                <w:shd w:val="clear" w:color="auto" w:fill="FFCC99"/>
              </w:rPr>
            </w:pPr>
            <w:r>
              <w:rPr>
                <w:rFonts w:ascii="黑体" w:eastAsia="黑体" w:hAnsi="黑体"/>
                <w:color w:val="FF0000"/>
                <w:sz w:val="22"/>
                <w:szCs w:val="18"/>
                <w:shd w:val="clear" w:color="auto" w:fill="FFCC99"/>
              </w:rPr>
              <w:t>1.8</w:t>
            </w:r>
          </w:p>
        </w:tc>
        <w:tc>
          <w:tcPr>
            <w:tcW w:w="756" w:type="dxa"/>
            <w:tcBorders>
              <w:top w:val="single" w:sz="4" w:space="0" w:color="000000"/>
              <w:left w:val="single" w:sz="4" w:space="0" w:color="000000"/>
              <w:bottom w:val="single" w:sz="4" w:space="0" w:color="000000"/>
              <w:right w:val="single" w:sz="4" w:space="0" w:color="000000"/>
            </w:tcBorders>
            <w:shd w:val="solid" w:color="FFCC99" w:fill="auto"/>
            <w:vAlign w:val="center"/>
          </w:tcPr>
          <w:p w:rsidR="006C6AAE" w:rsidRDefault="006C6AAE" w:rsidP="006C6AAE">
            <w:pPr>
              <w:shd w:val="solid" w:color="FFCC99" w:fill="auto"/>
              <w:autoSpaceDN w:val="0"/>
              <w:ind w:firstLineChars="0" w:firstLine="0"/>
              <w:jc w:val="center"/>
              <w:textAlignment w:val="center"/>
              <w:rPr>
                <w:rFonts w:ascii="黑体" w:eastAsia="黑体" w:hAnsi="黑体"/>
                <w:color w:val="FF0000"/>
                <w:sz w:val="22"/>
                <w:szCs w:val="18"/>
                <w:shd w:val="clear" w:color="auto" w:fill="FFCC99"/>
              </w:rPr>
            </w:pPr>
            <w:r>
              <w:rPr>
                <w:rFonts w:ascii="黑体" w:eastAsia="黑体" w:hAnsi="黑体"/>
                <w:color w:val="FF0000"/>
                <w:sz w:val="22"/>
                <w:szCs w:val="18"/>
                <w:shd w:val="clear" w:color="auto" w:fill="FFCC99"/>
              </w:rPr>
              <w:t>41566</w:t>
            </w:r>
          </w:p>
        </w:tc>
        <w:tc>
          <w:tcPr>
            <w:tcW w:w="937" w:type="dxa"/>
            <w:tcBorders>
              <w:top w:val="single" w:sz="4" w:space="0" w:color="000000"/>
              <w:left w:val="single" w:sz="4" w:space="0" w:color="000000"/>
              <w:bottom w:val="single" w:sz="4" w:space="0" w:color="000000"/>
              <w:right w:val="single" w:sz="4" w:space="0" w:color="000000"/>
            </w:tcBorders>
            <w:shd w:val="solid" w:color="FFCC99" w:fill="auto"/>
            <w:vAlign w:val="center"/>
          </w:tcPr>
          <w:p w:rsidR="006C6AAE" w:rsidRDefault="006C6AAE" w:rsidP="006C6AAE">
            <w:pPr>
              <w:shd w:val="solid" w:color="FFCC99" w:fill="auto"/>
              <w:autoSpaceDN w:val="0"/>
              <w:ind w:firstLineChars="0" w:firstLine="0"/>
              <w:jc w:val="center"/>
              <w:textAlignment w:val="center"/>
              <w:rPr>
                <w:rFonts w:ascii="黑体" w:eastAsia="黑体" w:hAnsi="黑体"/>
                <w:color w:val="FF0000"/>
                <w:sz w:val="22"/>
                <w:szCs w:val="18"/>
                <w:shd w:val="clear" w:color="auto" w:fill="FFCC99"/>
              </w:rPr>
            </w:pPr>
            <w:r>
              <w:rPr>
                <w:rFonts w:ascii="黑体" w:eastAsia="黑体" w:hAnsi="黑体"/>
                <w:color w:val="FF0000"/>
                <w:sz w:val="22"/>
                <w:szCs w:val="18"/>
                <w:shd w:val="clear" w:color="auto" w:fill="FFCC99"/>
              </w:rPr>
              <w:t>40</w:t>
            </w:r>
          </w:p>
        </w:tc>
        <w:tc>
          <w:tcPr>
            <w:tcW w:w="704" w:type="dxa"/>
            <w:tcBorders>
              <w:top w:val="single" w:sz="4" w:space="0" w:color="000000"/>
              <w:left w:val="single" w:sz="4" w:space="0" w:color="000000"/>
              <w:bottom w:val="single" w:sz="4" w:space="0" w:color="000000"/>
              <w:right w:val="single" w:sz="4" w:space="0" w:color="000000"/>
            </w:tcBorders>
            <w:shd w:val="solid" w:color="FFCC99" w:fill="auto"/>
            <w:vAlign w:val="center"/>
          </w:tcPr>
          <w:p w:rsidR="006C6AAE" w:rsidRDefault="006C6AAE" w:rsidP="006C6AAE">
            <w:pPr>
              <w:shd w:val="solid" w:color="FFCC99" w:fill="auto"/>
              <w:autoSpaceDN w:val="0"/>
              <w:ind w:firstLineChars="0" w:firstLine="0"/>
              <w:jc w:val="center"/>
              <w:textAlignment w:val="center"/>
              <w:rPr>
                <w:rFonts w:ascii="黑体" w:eastAsia="黑体" w:hAnsi="黑体"/>
                <w:color w:val="FF0000"/>
                <w:sz w:val="22"/>
                <w:szCs w:val="18"/>
                <w:shd w:val="clear" w:color="auto" w:fill="FFCC99"/>
              </w:rPr>
            </w:pPr>
            <w:r>
              <w:rPr>
                <w:rFonts w:ascii="黑体" w:eastAsia="黑体" w:hAnsi="黑体" w:hint="eastAsia"/>
                <w:color w:val="FF0000"/>
                <w:sz w:val="22"/>
                <w:szCs w:val="18"/>
                <w:shd w:val="clear" w:color="auto" w:fill="FFCC99"/>
              </w:rPr>
              <w:t>2</w:t>
            </w:r>
            <w:r>
              <w:rPr>
                <w:rFonts w:ascii="黑体" w:eastAsia="黑体" w:hAnsi="黑体"/>
                <w:color w:val="FF0000"/>
                <w:sz w:val="22"/>
                <w:szCs w:val="18"/>
                <w:shd w:val="clear" w:color="auto" w:fill="FFCC99"/>
              </w:rPr>
              <w:t>0</w:t>
            </w:r>
          </w:p>
        </w:tc>
        <w:tc>
          <w:tcPr>
            <w:tcW w:w="704" w:type="dxa"/>
            <w:tcBorders>
              <w:top w:val="single" w:sz="4" w:space="0" w:color="000000"/>
              <w:left w:val="single" w:sz="4" w:space="0" w:color="000000"/>
              <w:bottom w:val="single" w:sz="4" w:space="0" w:color="000000"/>
              <w:right w:val="single" w:sz="4" w:space="0" w:color="000000"/>
            </w:tcBorders>
            <w:shd w:val="solid" w:color="FFCC99" w:fill="auto"/>
            <w:vAlign w:val="center"/>
          </w:tcPr>
          <w:p w:rsidR="006C6AAE" w:rsidRDefault="006C6AAE" w:rsidP="006C6AAE">
            <w:pPr>
              <w:shd w:val="solid" w:color="FFCC99" w:fill="auto"/>
              <w:autoSpaceDN w:val="0"/>
              <w:ind w:firstLineChars="0" w:firstLine="0"/>
              <w:jc w:val="center"/>
              <w:textAlignment w:val="center"/>
              <w:rPr>
                <w:rFonts w:ascii="黑体" w:eastAsia="黑体" w:hAnsi="黑体"/>
                <w:color w:val="FF0000"/>
                <w:sz w:val="22"/>
                <w:szCs w:val="18"/>
                <w:shd w:val="clear" w:color="auto" w:fill="FFCC99"/>
              </w:rPr>
            </w:pPr>
            <w:r>
              <w:rPr>
                <w:rFonts w:ascii="黑体" w:eastAsia="黑体" w:hAnsi="黑体"/>
                <w:color w:val="FF0000"/>
                <w:sz w:val="22"/>
                <w:szCs w:val="18"/>
                <w:shd w:val="clear" w:color="auto" w:fill="FFCC99"/>
              </w:rPr>
              <w:t>3</w:t>
            </w:r>
            <w:r>
              <w:rPr>
                <w:rFonts w:ascii="黑体" w:eastAsia="黑体" w:hAnsi="黑体" w:hint="eastAsia"/>
                <w:color w:val="FF0000"/>
                <w:sz w:val="22"/>
                <w:szCs w:val="18"/>
                <w:shd w:val="clear" w:color="auto" w:fill="FFCC99"/>
              </w:rPr>
              <w:t>0</w:t>
            </w:r>
          </w:p>
        </w:tc>
      </w:tr>
      <w:tr w:rsidR="006C6AAE" w:rsidTr="006C6AAE">
        <w:trPr>
          <w:trHeight w:val="892"/>
        </w:trPr>
        <w:tc>
          <w:tcPr>
            <w:tcW w:w="662" w:type="dxa"/>
            <w:vMerge/>
            <w:tcBorders>
              <w:top w:val="single" w:sz="4" w:space="0" w:color="000000"/>
              <w:left w:val="single" w:sz="4" w:space="0" w:color="000000"/>
              <w:bottom w:val="single" w:sz="4" w:space="0" w:color="000000"/>
              <w:right w:val="single" w:sz="4" w:space="0" w:color="000000"/>
            </w:tcBorders>
            <w:shd w:val="solid" w:color="CCFFFF" w:fill="auto"/>
            <w:vAlign w:val="center"/>
          </w:tcPr>
          <w:p w:rsidR="006C6AAE" w:rsidRDefault="006C6AAE" w:rsidP="006C6AAE">
            <w:pPr>
              <w:ind w:firstLine="400"/>
              <w:jc w:val="center"/>
              <w:rPr>
                <w:rFonts w:ascii="宋体" w:hAnsi="宋体"/>
                <w:sz w:val="20"/>
                <w:szCs w:val="18"/>
              </w:rPr>
            </w:pPr>
          </w:p>
        </w:tc>
        <w:tc>
          <w:tcPr>
            <w:tcW w:w="913" w:type="dxa"/>
            <w:tcBorders>
              <w:top w:val="single" w:sz="4" w:space="0" w:color="000000"/>
              <w:bottom w:val="single" w:sz="4" w:space="0" w:color="000000"/>
              <w:right w:val="single" w:sz="4" w:space="0" w:color="000000"/>
            </w:tcBorders>
            <w:shd w:val="solid" w:color="FFCC99" w:fill="auto"/>
            <w:vAlign w:val="center"/>
          </w:tcPr>
          <w:p w:rsidR="006C6AAE" w:rsidRDefault="006C6AAE" w:rsidP="006C6AAE">
            <w:pPr>
              <w:shd w:val="solid" w:color="FFCC99" w:fill="auto"/>
              <w:autoSpaceDN w:val="0"/>
              <w:ind w:firstLineChars="0" w:firstLine="0"/>
              <w:jc w:val="center"/>
              <w:textAlignment w:val="center"/>
              <w:rPr>
                <w:rFonts w:ascii="黑体" w:eastAsia="黑体" w:hAnsi="黑体"/>
                <w:color w:val="FF0000"/>
                <w:sz w:val="22"/>
                <w:szCs w:val="18"/>
                <w:shd w:val="clear" w:color="auto" w:fill="FFCC99"/>
              </w:rPr>
            </w:pPr>
            <w:r>
              <w:rPr>
                <w:rFonts w:ascii="黑体" w:eastAsia="黑体" w:hAnsi="黑体"/>
                <w:color w:val="FF0000"/>
                <w:sz w:val="22"/>
                <w:szCs w:val="18"/>
                <w:shd w:val="clear" w:color="auto" w:fill="FFCC99"/>
              </w:rPr>
              <w:t>调整后</w:t>
            </w:r>
          </w:p>
        </w:tc>
        <w:tc>
          <w:tcPr>
            <w:tcW w:w="1253" w:type="dxa"/>
            <w:tcBorders>
              <w:top w:val="single" w:sz="4" w:space="0" w:color="000000"/>
              <w:left w:val="single" w:sz="4" w:space="0" w:color="000000"/>
              <w:bottom w:val="single" w:sz="4" w:space="0" w:color="000000"/>
              <w:right w:val="single" w:sz="4" w:space="0" w:color="000000"/>
            </w:tcBorders>
            <w:shd w:val="solid" w:color="FFCC99" w:fill="auto"/>
            <w:vAlign w:val="center"/>
          </w:tcPr>
          <w:p w:rsidR="006C6AAE" w:rsidRDefault="006C6AAE" w:rsidP="006C6AAE">
            <w:pPr>
              <w:shd w:val="solid" w:color="FFCC99" w:fill="auto"/>
              <w:autoSpaceDN w:val="0"/>
              <w:ind w:firstLineChars="0" w:firstLine="0"/>
              <w:jc w:val="center"/>
              <w:textAlignment w:val="center"/>
              <w:rPr>
                <w:rFonts w:ascii="黑体" w:eastAsia="黑体" w:hAnsi="黑体"/>
                <w:color w:val="FF0000"/>
                <w:sz w:val="22"/>
                <w:szCs w:val="18"/>
                <w:shd w:val="clear" w:color="auto" w:fill="FFCC99"/>
              </w:rPr>
            </w:pPr>
            <w:r>
              <w:rPr>
                <w:rFonts w:ascii="黑体" w:eastAsia="黑体" w:hAnsi="黑体"/>
                <w:color w:val="FF0000"/>
                <w:sz w:val="22"/>
                <w:szCs w:val="18"/>
                <w:shd w:val="clear" w:color="auto" w:fill="FFCC99"/>
              </w:rPr>
              <w:t>B-30-01-01</w:t>
            </w:r>
          </w:p>
        </w:tc>
        <w:tc>
          <w:tcPr>
            <w:tcW w:w="556" w:type="dxa"/>
            <w:tcBorders>
              <w:top w:val="single" w:sz="4" w:space="0" w:color="000000"/>
              <w:left w:val="single" w:sz="4" w:space="0" w:color="000000"/>
              <w:bottom w:val="single" w:sz="4" w:space="0" w:color="000000"/>
              <w:right w:val="single" w:sz="4" w:space="0" w:color="000000"/>
            </w:tcBorders>
            <w:shd w:val="solid" w:color="FFCC99" w:fill="auto"/>
            <w:vAlign w:val="center"/>
          </w:tcPr>
          <w:p w:rsidR="006C6AAE" w:rsidRDefault="006C6AAE" w:rsidP="006C6AAE">
            <w:pPr>
              <w:shd w:val="solid" w:color="FFCC99" w:fill="auto"/>
              <w:autoSpaceDN w:val="0"/>
              <w:ind w:firstLineChars="0" w:firstLine="0"/>
              <w:jc w:val="center"/>
              <w:textAlignment w:val="center"/>
              <w:rPr>
                <w:rFonts w:ascii="黑体" w:eastAsia="黑体" w:hAnsi="黑体"/>
                <w:color w:val="FF0000"/>
                <w:sz w:val="22"/>
                <w:szCs w:val="18"/>
                <w:shd w:val="clear" w:color="auto" w:fill="FFCC99"/>
              </w:rPr>
            </w:pPr>
            <w:r>
              <w:rPr>
                <w:rFonts w:ascii="黑体" w:eastAsia="黑体" w:hAnsi="黑体"/>
                <w:color w:val="FF0000"/>
                <w:sz w:val="22"/>
                <w:szCs w:val="18"/>
                <w:shd w:val="clear" w:color="auto" w:fill="FFCC99"/>
              </w:rPr>
              <w:t>R2</w:t>
            </w:r>
          </w:p>
        </w:tc>
        <w:tc>
          <w:tcPr>
            <w:tcW w:w="1092" w:type="dxa"/>
            <w:tcBorders>
              <w:top w:val="single" w:sz="4" w:space="0" w:color="000000"/>
              <w:left w:val="single" w:sz="4" w:space="0" w:color="000000"/>
              <w:bottom w:val="single" w:sz="4" w:space="0" w:color="000000"/>
              <w:right w:val="single" w:sz="4" w:space="0" w:color="000000"/>
            </w:tcBorders>
            <w:shd w:val="solid" w:color="FFCC99" w:fill="auto"/>
            <w:vAlign w:val="center"/>
          </w:tcPr>
          <w:p w:rsidR="006C6AAE" w:rsidRDefault="006C6AAE" w:rsidP="006C6AAE">
            <w:pPr>
              <w:shd w:val="solid" w:color="FFCC99" w:fill="auto"/>
              <w:autoSpaceDN w:val="0"/>
              <w:ind w:firstLineChars="0" w:firstLine="0"/>
              <w:jc w:val="center"/>
              <w:textAlignment w:val="center"/>
              <w:rPr>
                <w:rFonts w:ascii="黑体" w:eastAsia="黑体" w:hAnsi="黑体"/>
                <w:color w:val="FF0000"/>
                <w:sz w:val="22"/>
                <w:szCs w:val="18"/>
                <w:shd w:val="clear" w:color="auto" w:fill="FFCC99"/>
              </w:rPr>
            </w:pPr>
            <w:r>
              <w:rPr>
                <w:rFonts w:ascii="黑体" w:eastAsia="黑体" w:hAnsi="黑体"/>
                <w:color w:val="FF0000"/>
                <w:sz w:val="22"/>
                <w:szCs w:val="18"/>
                <w:shd w:val="clear" w:color="auto" w:fill="FFCC99"/>
              </w:rPr>
              <w:t>23092.37</w:t>
            </w:r>
          </w:p>
        </w:tc>
        <w:tc>
          <w:tcPr>
            <w:tcW w:w="696" w:type="dxa"/>
            <w:tcBorders>
              <w:top w:val="single" w:sz="4" w:space="0" w:color="000000"/>
              <w:left w:val="single" w:sz="4" w:space="0" w:color="000000"/>
              <w:bottom w:val="single" w:sz="4" w:space="0" w:color="000000"/>
              <w:right w:val="single" w:sz="4" w:space="0" w:color="000000"/>
            </w:tcBorders>
            <w:shd w:val="solid" w:color="FFCC99" w:fill="auto"/>
            <w:vAlign w:val="center"/>
          </w:tcPr>
          <w:p w:rsidR="006C6AAE" w:rsidRDefault="006C6AAE" w:rsidP="006C6AAE">
            <w:pPr>
              <w:shd w:val="solid" w:color="FFCC99" w:fill="auto"/>
              <w:autoSpaceDN w:val="0"/>
              <w:ind w:firstLineChars="0" w:firstLine="0"/>
              <w:jc w:val="center"/>
              <w:textAlignment w:val="center"/>
              <w:rPr>
                <w:rFonts w:ascii="黑体" w:eastAsia="黑体" w:hAnsi="黑体"/>
                <w:color w:val="FF0000"/>
                <w:sz w:val="22"/>
                <w:szCs w:val="18"/>
                <w:shd w:val="clear" w:color="auto" w:fill="FFCC99"/>
              </w:rPr>
            </w:pPr>
            <w:r>
              <w:rPr>
                <w:rFonts w:ascii="黑体" w:eastAsia="黑体" w:hAnsi="黑体"/>
                <w:color w:val="FF0000"/>
                <w:sz w:val="22"/>
                <w:szCs w:val="18"/>
                <w:shd w:val="clear" w:color="auto" w:fill="FFCC99"/>
              </w:rPr>
              <w:t>2.0</w:t>
            </w:r>
          </w:p>
        </w:tc>
        <w:tc>
          <w:tcPr>
            <w:tcW w:w="756" w:type="dxa"/>
            <w:tcBorders>
              <w:top w:val="single" w:sz="4" w:space="0" w:color="000000"/>
              <w:left w:val="single" w:sz="4" w:space="0" w:color="000000"/>
              <w:bottom w:val="single" w:sz="4" w:space="0" w:color="000000"/>
              <w:right w:val="single" w:sz="4" w:space="0" w:color="000000"/>
            </w:tcBorders>
            <w:shd w:val="solid" w:color="FFCC99" w:fill="auto"/>
            <w:vAlign w:val="center"/>
          </w:tcPr>
          <w:p w:rsidR="006C6AAE" w:rsidRDefault="006C6AAE" w:rsidP="006C6AAE">
            <w:pPr>
              <w:shd w:val="solid" w:color="FFCC99" w:fill="auto"/>
              <w:autoSpaceDN w:val="0"/>
              <w:ind w:firstLineChars="0" w:firstLine="0"/>
              <w:jc w:val="center"/>
              <w:textAlignment w:val="center"/>
              <w:rPr>
                <w:rFonts w:ascii="黑体" w:eastAsia="黑体" w:hAnsi="黑体"/>
                <w:color w:val="FF0000"/>
                <w:sz w:val="22"/>
                <w:szCs w:val="18"/>
                <w:shd w:val="clear" w:color="auto" w:fill="FFCC99"/>
              </w:rPr>
            </w:pPr>
            <w:r>
              <w:rPr>
                <w:rFonts w:ascii="黑体" w:eastAsia="黑体" w:hAnsi="黑体"/>
                <w:color w:val="FF0000"/>
                <w:sz w:val="22"/>
                <w:szCs w:val="18"/>
                <w:shd w:val="clear" w:color="auto" w:fill="FFCC99"/>
              </w:rPr>
              <w:t>46185</w:t>
            </w:r>
          </w:p>
        </w:tc>
        <w:tc>
          <w:tcPr>
            <w:tcW w:w="937" w:type="dxa"/>
            <w:tcBorders>
              <w:top w:val="single" w:sz="4" w:space="0" w:color="000000"/>
              <w:left w:val="single" w:sz="4" w:space="0" w:color="000000"/>
              <w:bottom w:val="single" w:sz="4" w:space="0" w:color="000000"/>
              <w:right w:val="single" w:sz="4" w:space="0" w:color="000000"/>
            </w:tcBorders>
            <w:shd w:val="solid" w:color="FFCC99" w:fill="auto"/>
            <w:vAlign w:val="center"/>
          </w:tcPr>
          <w:p w:rsidR="006C6AAE" w:rsidRDefault="006C6AAE" w:rsidP="006C6AAE">
            <w:pPr>
              <w:shd w:val="solid" w:color="FFCC99" w:fill="auto"/>
              <w:autoSpaceDN w:val="0"/>
              <w:ind w:firstLineChars="0" w:firstLine="0"/>
              <w:jc w:val="center"/>
              <w:textAlignment w:val="center"/>
              <w:rPr>
                <w:rFonts w:ascii="黑体" w:eastAsia="黑体" w:hAnsi="黑体"/>
                <w:color w:val="FF0000"/>
                <w:sz w:val="22"/>
                <w:szCs w:val="18"/>
                <w:shd w:val="clear" w:color="auto" w:fill="FFCC99"/>
              </w:rPr>
            </w:pPr>
            <w:r>
              <w:rPr>
                <w:rFonts w:ascii="黑体" w:eastAsia="黑体" w:hAnsi="黑体"/>
                <w:color w:val="FF0000"/>
                <w:sz w:val="22"/>
                <w:szCs w:val="18"/>
                <w:shd w:val="clear" w:color="auto" w:fill="FFCC99"/>
              </w:rPr>
              <w:t>20</w:t>
            </w:r>
          </w:p>
        </w:tc>
        <w:tc>
          <w:tcPr>
            <w:tcW w:w="704" w:type="dxa"/>
            <w:tcBorders>
              <w:top w:val="single" w:sz="4" w:space="0" w:color="000000"/>
              <w:left w:val="single" w:sz="4" w:space="0" w:color="000000"/>
              <w:bottom w:val="single" w:sz="4" w:space="0" w:color="000000"/>
              <w:right w:val="single" w:sz="4" w:space="0" w:color="000000"/>
            </w:tcBorders>
            <w:shd w:val="solid" w:color="FFCC99" w:fill="auto"/>
            <w:vAlign w:val="center"/>
          </w:tcPr>
          <w:p w:rsidR="006C6AAE" w:rsidRDefault="006C6AAE" w:rsidP="006C6AAE">
            <w:pPr>
              <w:shd w:val="solid" w:color="FFCC99" w:fill="auto"/>
              <w:autoSpaceDN w:val="0"/>
              <w:ind w:firstLineChars="0" w:firstLine="0"/>
              <w:jc w:val="center"/>
              <w:textAlignment w:val="center"/>
              <w:rPr>
                <w:rFonts w:ascii="黑体" w:eastAsia="黑体" w:hAnsi="黑体"/>
                <w:color w:val="FF0000"/>
                <w:sz w:val="22"/>
                <w:szCs w:val="18"/>
                <w:shd w:val="clear" w:color="auto" w:fill="FFCC99"/>
              </w:rPr>
            </w:pPr>
            <w:r>
              <w:rPr>
                <w:rFonts w:ascii="黑体" w:eastAsia="黑体" w:hAnsi="黑体" w:hint="eastAsia"/>
                <w:color w:val="FF0000"/>
                <w:sz w:val="22"/>
                <w:szCs w:val="18"/>
                <w:shd w:val="clear" w:color="auto" w:fill="FFCC99"/>
              </w:rPr>
              <w:t>40</w:t>
            </w:r>
          </w:p>
        </w:tc>
        <w:tc>
          <w:tcPr>
            <w:tcW w:w="704" w:type="dxa"/>
            <w:tcBorders>
              <w:top w:val="single" w:sz="4" w:space="0" w:color="000000"/>
              <w:left w:val="single" w:sz="4" w:space="0" w:color="000000"/>
              <w:bottom w:val="single" w:sz="4" w:space="0" w:color="000000"/>
              <w:right w:val="single" w:sz="4" w:space="0" w:color="000000"/>
            </w:tcBorders>
            <w:shd w:val="solid" w:color="FFCC99" w:fill="auto"/>
            <w:vAlign w:val="center"/>
          </w:tcPr>
          <w:p w:rsidR="006C6AAE" w:rsidRDefault="006C6AAE" w:rsidP="006C6AAE">
            <w:pPr>
              <w:shd w:val="solid" w:color="FFCC99" w:fill="auto"/>
              <w:autoSpaceDN w:val="0"/>
              <w:ind w:firstLineChars="0" w:firstLine="0"/>
              <w:jc w:val="center"/>
              <w:textAlignment w:val="center"/>
              <w:rPr>
                <w:rFonts w:ascii="黑体" w:eastAsia="黑体" w:hAnsi="黑体"/>
                <w:color w:val="FF0000"/>
                <w:sz w:val="22"/>
                <w:szCs w:val="18"/>
                <w:shd w:val="clear" w:color="auto" w:fill="FFCC99"/>
              </w:rPr>
            </w:pPr>
            <w:r>
              <w:rPr>
                <w:rFonts w:ascii="黑体" w:eastAsia="黑体" w:hAnsi="黑体"/>
                <w:color w:val="FF0000"/>
                <w:sz w:val="22"/>
                <w:szCs w:val="18"/>
                <w:shd w:val="clear" w:color="auto" w:fill="FFCC99"/>
              </w:rPr>
              <w:t>35</w:t>
            </w:r>
          </w:p>
        </w:tc>
      </w:tr>
    </w:tbl>
    <w:p w:rsidR="009F534E" w:rsidRDefault="00E64051" w:rsidP="006C6AAE">
      <w:pPr>
        <w:spacing w:beforeLines="50" w:before="156" w:afterLines="50" w:after="156" w:line="360" w:lineRule="auto"/>
        <w:ind w:firstLine="560"/>
        <w:rPr>
          <w:rFonts w:ascii="宋体" w:hAnsi="宋体"/>
          <w:szCs w:val="28"/>
        </w:rPr>
      </w:pPr>
      <w:r>
        <w:rPr>
          <w:rFonts w:ascii="宋体" w:hAnsi="宋体" w:hint="eastAsia"/>
          <w:szCs w:val="28"/>
        </w:rPr>
        <w:t>由上表可知，本次规划调整后，街坊的用地总面积未发生改变，规划居住建筑面积增加了46185㎡，商业建筑面积减少</w:t>
      </w:r>
      <w:r>
        <w:rPr>
          <w:rFonts w:ascii="宋体" w:hAnsi="宋体"/>
          <w:szCs w:val="28"/>
        </w:rPr>
        <w:t>41566</w:t>
      </w:r>
      <w:r>
        <w:rPr>
          <w:rFonts w:ascii="宋体" w:hAnsi="宋体" w:hint="eastAsia"/>
          <w:szCs w:val="28"/>
        </w:rPr>
        <w:t>㎡，总建筑面积共增加4618㎡。</w:t>
      </w:r>
    </w:p>
    <w:p w:rsidR="009F534E" w:rsidRDefault="00E64051">
      <w:pPr>
        <w:pStyle w:val="1"/>
        <w:rPr>
          <w:sz w:val="32"/>
          <w:szCs w:val="32"/>
        </w:rPr>
      </w:pPr>
      <w:bookmarkStart w:id="13" w:name="_Toc15836"/>
      <w:r>
        <w:rPr>
          <w:rFonts w:hint="eastAsia"/>
          <w:sz w:val="32"/>
          <w:szCs w:val="32"/>
        </w:rPr>
        <w:t>六、规划调整可行性分析</w:t>
      </w:r>
      <w:bookmarkEnd w:id="13"/>
    </w:p>
    <w:p w:rsidR="009F534E" w:rsidRDefault="00E64051" w:rsidP="006C6AAE">
      <w:pPr>
        <w:spacing w:beforeLines="50" w:before="156" w:afterLines="50" w:after="156" w:line="360" w:lineRule="auto"/>
        <w:ind w:firstLine="560"/>
        <w:rPr>
          <w:rFonts w:ascii="宋体" w:hAnsi="宋体"/>
          <w:szCs w:val="28"/>
        </w:rPr>
      </w:pPr>
      <w:r>
        <w:rPr>
          <w:rFonts w:ascii="宋体" w:hAnsi="宋体" w:hint="eastAsia"/>
          <w:szCs w:val="28"/>
        </w:rPr>
        <w:t>1、居住人口方面</w:t>
      </w:r>
    </w:p>
    <w:p w:rsidR="009F534E" w:rsidRDefault="00E64051" w:rsidP="006C6AAE">
      <w:pPr>
        <w:spacing w:beforeLines="50" w:before="156" w:afterLines="50" w:after="156" w:line="360" w:lineRule="auto"/>
        <w:ind w:firstLine="560"/>
        <w:rPr>
          <w:rFonts w:ascii="宋体" w:hAnsi="宋体"/>
          <w:szCs w:val="28"/>
        </w:rPr>
      </w:pPr>
      <w:r>
        <w:rPr>
          <w:rFonts w:ascii="宋体" w:hAnsi="宋体" w:hint="eastAsia"/>
          <w:szCs w:val="28"/>
        </w:rPr>
        <w:t>根据上述调整方案，规划调整后产生影响分析如下：</w:t>
      </w:r>
    </w:p>
    <w:p w:rsidR="009F534E" w:rsidRDefault="00E64051">
      <w:pPr>
        <w:pStyle w:val="a5"/>
        <w:spacing w:before="156" w:after="156"/>
        <w:ind w:firstLine="560"/>
        <w:rPr>
          <w:rFonts w:ascii="宋体" w:hAnsi="宋体"/>
          <w:szCs w:val="28"/>
        </w:rPr>
      </w:pPr>
      <w:r>
        <w:rPr>
          <w:rFonts w:hint="eastAsia"/>
        </w:rPr>
        <w:t>依据</w:t>
      </w:r>
      <w:r>
        <w:rPr>
          <w:rFonts w:ascii="宋体" w:hAnsi="宋体" w:hint="eastAsia"/>
          <w:szCs w:val="28"/>
        </w:rPr>
        <w:t>《沁源县城东片区控制性详细规划》，本次规划调整影响范围为B单元中的B</w:t>
      </w:r>
      <w:r>
        <w:rPr>
          <w:rFonts w:hint="eastAsia"/>
        </w:rPr>
        <w:t>-30</w:t>
      </w:r>
      <w:r>
        <w:rPr>
          <w:rFonts w:hint="eastAsia"/>
        </w:rPr>
        <w:t>街坊。</w:t>
      </w:r>
    </w:p>
    <w:p w:rsidR="009F534E" w:rsidRDefault="00E64051">
      <w:pPr>
        <w:pStyle w:val="a5"/>
        <w:spacing w:before="156" w:after="156"/>
        <w:ind w:firstLine="560"/>
        <w:rPr>
          <w:rFonts w:ascii="宋体" w:hAnsi="宋体"/>
          <w:szCs w:val="28"/>
        </w:rPr>
      </w:pPr>
      <w:r>
        <w:rPr>
          <w:rFonts w:hint="eastAsia"/>
        </w:rPr>
        <w:t>本次规划调整各街坊用地面积保持不变，其中居住建筑面积共增加</w:t>
      </w:r>
      <w:r>
        <w:rPr>
          <w:rFonts w:ascii="宋体" w:hAnsi="宋体" w:hint="eastAsia"/>
          <w:szCs w:val="28"/>
        </w:rPr>
        <w:t>46185</w:t>
      </w:r>
      <w:r>
        <w:rPr>
          <w:rFonts w:hint="eastAsia"/>
        </w:rPr>
        <w:t>㎡，居住户数增加</w:t>
      </w:r>
      <w:r>
        <w:rPr>
          <w:rFonts w:hint="eastAsia"/>
        </w:rPr>
        <w:t>384</w:t>
      </w:r>
      <w:r>
        <w:rPr>
          <w:rFonts w:hint="eastAsia"/>
        </w:rPr>
        <w:t>户（按户均</w:t>
      </w:r>
      <w:r>
        <w:rPr>
          <w:rFonts w:hint="eastAsia"/>
        </w:rPr>
        <w:t>120</w:t>
      </w:r>
      <w:r>
        <w:rPr>
          <w:rFonts w:hint="eastAsia"/>
        </w:rPr>
        <w:t>平方米计），居住人口增加</w:t>
      </w:r>
      <w:r>
        <w:rPr>
          <w:rFonts w:hint="eastAsia"/>
        </w:rPr>
        <w:t>1347</w:t>
      </w:r>
      <w:r>
        <w:rPr>
          <w:rFonts w:hint="eastAsia"/>
        </w:rPr>
        <w:t>人（户均按</w:t>
      </w:r>
      <w:r>
        <w:rPr>
          <w:rFonts w:hint="eastAsia"/>
        </w:rPr>
        <w:t>3.5</w:t>
      </w:r>
      <w:r>
        <w:rPr>
          <w:rFonts w:hint="eastAsia"/>
        </w:rPr>
        <w:t>人计）。</w:t>
      </w:r>
    </w:p>
    <w:p w:rsidR="009F534E" w:rsidRDefault="00E64051" w:rsidP="006C6AAE">
      <w:pPr>
        <w:ind w:firstLine="560"/>
      </w:pPr>
      <w:r>
        <w:rPr>
          <w:rFonts w:hint="eastAsia"/>
        </w:rPr>
        <w:t>2</w:t>
      </w:r>
      <w:r>
        <w:rPr>
          <w:rFonts w:hint="eastAsia"/>
        </w:rPr>
        <w:t>、公共服务设施方面</w:t>
      </w:r>
    </w:p>
    <w:p w:rsidR="009F534E" w:rsidRDefault="00E64051" w:rsidP="006C6AAE">
      <w:pPr>
        <w:ind w:firstLine="560"/>
      </w:pPr>
      <w:r>
        <w:rPr>
          <w:rFonts w:ascii="宋体" w:hAnsi="宋体" w:hint="eastAsia"/>
          <w:szCs w:val="28"/>
        </w:rPr>
        <w:t>参照《长治市主城区中小学布点规划》，按照小学72生/千人，中学46生/千人计算，规划调整后共新增小学生97人，中学生62人。</w:t>
      </w:r>
    </w:p>
    <w:p w:rsidR="009F534E" w:rsidRDefault="00E64051">
      <w:pPr>
        <w:ind w:firstLineChars="0" w:firstLine="0"/>
      </w:pPr>
      <w:r>
        <w:rPr>
          <w:rFonts w:hint="eastAsia"/>
        </w:rPr>
        <w:lastRenderedPageBreak/>
        <w:t>规划</w:t>
      </w:r>
      <w:r>
        <w:rPr>
          <w:rFonts w:ascii="宋体" w:hAnsi="宋体" w:hint="eastAsia"/>
          <w:szCs w:val="28"/>
        </w:rPr>
        <w:t>B</w:t>
      </w:r>
      <w:r>
        <w:rPr>
          <w:rFonts w:hint="eastAsia"/>
        </w:rPr>
        <w:t>-30</w:t>
      </w:r>
      <w:r>
        <w:rPr>
          <w:rFonts w:hint="eastAsia"/>
        </w:rPr>
        <w:t>街坊西侧有规划的</w:t>
      </w:r>
      <w:r>
        <w:rPr>
          <w:rFonts w:hint="eastAsia"/>
        </w:rPr>
        <w:t>6</w:t>
      </w:r>
      <w:r>
        <w:rPr>
          <w:rFonts w:hint="eastAsia"/>
        </w:rPr>
        <w:t>轨制中学一座，</w:t>
      </w:r>
      <w:r>
        <w:rPr>
          <w:rFonts w:hint="eastAsia"/>
        </w:rPr>
        <w:t>5</w:t>
      </w:r>
      <w:r>
        <w:rPr>
          <w:rFonts w:hint="eastAsia"/>
        </w:rPr>
        <w:t>轨制小学一座，</w:t>
      </w:r>
      <w:r>
        <w:rPr>
          <w:rFonts w:hint="eastAsia"/>
        </w:rPr>
        <w:t>4</w:t>
      </w:r>
      <w:r>
        <w:rPr>
          <w:rFonts w:hint="eastAsia"/>
        </w:rPr>
        <w:t>轨制中学一座，可满足新增的中小学生上学需求。</w:t>
      </w:r>
    </w:p>
    <w:p w:rsidR="009F534E" w:rsidRDefault="00E64051">
      <w:pPr>
        <w:ind w:firstLineChars="0" w:firstLine="0"/>
        <w:jc w:val="center"/>
        <w:rPr>
          <w:rFonts w:ascii="黑体" w:eastAsia="黑体" w:hAnsi="黑体"/>
          <w:sz w:val="24"/>
          <w:szCs w:val="21"/>
        </w:rPr>
      </w:pPr>
      <w:r>
        <w:rPr>
          <w:rFonts w:ascii="黑体" w:eastAsia="黑体" w:hAnsi="黑体" w:hint="eastAsia"/>
          <w:sz w:val="24"/>
          <w:szCs w:val="21"/>
        </w:rPr>
        <w:t>规划中小学配建图    图四</w:t>
      </w:r>
    </w:p>
    <w:p w:rsidR="009F534E" w:rsidRDefault="00F66782">
      <w:pPr>
        <w:ind w:firstLineChars="0" w:firstLine="0"/>
      </w:pPr>
      <w:r>
        <w:pict>
          <v:shape id="图片框 1036" o:spid="_x0000_s1034" type="#_x0000_t75" style="position:absolute;left:0;text-align:left;margin-left:20.25pt;margin-top:7.6pt;width:380pt;height:455.8pt;z-index:7;mso-wrap-distance-top:0;mso-wrap-distance-bottom:0">
            <v:imagedata r:id="rId18" o:title="配套学校2" croptop="10356f" cropbottom="4039f" cropleft="2745f" cropright="2491f"/>
            <w10:wrap type="topAndBottom"/>
          </v:shape>
        </w:pict>
      </w:r>
    </w:p>
    <w:p w:rsidR="009F534E" w:rsidRDefault="00E64051" w:rsidP="006C6AAE">
      <w:pPr>
        <w:ind w:firstLine="560"/>
      </w:pPr>
      <w:r>
        <w:rPr>
          <w:rFonts w:hint="eastAsia"/>
        </w:rPr>
        <w:t>3</w:t>
      </w:r>
      <w:r>
        <w:rPr>
          <w:rFonts w:hint="eastAsia"/>
        </w:rPr>
        <w:t>、市政基础设施方面</w:t>
      </w:r>
    </w:p>
    <w:p w:rsidR="009F534E" w:rsidRDefault="00E64051" w:rsidP="006C6AAE">
      <w:pPr>
        <w:pStyle w:val="a5"/>
        <w:spacing w:before="156" w:after="156" w:line="240" w:lineRule="auto"/>
        <w:ind w:firstLine="560"/>
      </w:pPr>
      <w:r>
        <w:fldChar w:fldCharType="begin"/>
      </w:r>
      <w:r>
        <w:instrText xml:space="preserve"> </w:instrText>
      </w:r>
      <w:r>
        <w:rPr>
          <w:rFonts w:hint="eastAsia"/>
        </w:rPr>
        <w:instrText>= 1 \* GB3</w:instrText>
      </w:r>
      <w:r>
        <w:instrText xml:space="preserve"> </w:instrText>
      </w:r>
      <w:r>
        <w:fldChar w:fldCharType="separate"/>
      </w:r>
      <w:r>
        <w:rPr>
          <w:rFonts w:hint="eastAsia"/>
        </w:rPr>
        <w:t>①</w:t>
      </w:r>
      <w:r>
        <w:fldChar w:fldCharType="end"/>
      </w:r>
      <w:r>
        <w:rPr>
          <w:rFonts w:hint="eastAsia"/>
        </w:rPr>
        <w:t>给水方面：按照《民用建筑节水设计标准》的要求，人均综合生活用水量指标取</w:t>
      </w:r>
      <w:r>
        <w:rPr>
          <w:rFonts w:hint="eastAsia"/>
        </w:rPr>
        <w:t>120L/</w:t>
      </w:r>
      <w:r>
        <w:rPr>
          <w:rFonts w:hint="eastAsia"/>
        </w:rPr>
        <w:t>人·天，由于调整后居住人口共增加</w:t>
      </w:r>
      <w:r>
        <w:rPr>
          <w:rFonts w:hint="eastAsia"/>
        </w:rPr>
        <w:t>1347</w:t>
      </w:r>
      <w:r>
        <w:rPr>
          <w:rFonts w:hint="eastAsia"/>
        </w:rPr>
        <w:lastRenderedPageBreak/>
        <w:t>人，故片区居住用水量共增加</w:t>
      </w:r>
      <w:r>
        <w:rPr>
          <w:rFonts w:hint="eastAsia"/>
        </w:rPr>
        <w:t>161.64m</w:t>
      </w:r>
      <w:r>
        <w:rPr>
          <w:rFonts w:hint="eastAsia"/>
        </w:rPr>
        <w:t>³</w:t>
      </w:r>
      <w:r>
        <w:rPr>
          <w:rFonts w:hint="eastAsia"/>
        </w:rPr>
        <w:t>/</w:t>
      </w:r>
      <w:r>
        <w:rPr>
          <w:rFonts w:hint="eastAsia"/>
        </w:rPr>
        <w:t>天。</w:t>
      </w:r>
      <w:r>
        <w:rPr>
          <w:rFonts w:cs="MS Mincho" w:hint="eastAsia"/>
        </w:rPr>
        <w:t>经校核，原规划街坊周边给水管管径做适当调整后可满足片区用水需求</w:t>
      </w:r>
      <w:r>
        <w:rPr>
          <w:rFonts w:hint="eastAsia"/>
        </w:rPr>
        <w:t>。</w:t>
      </w:r>
    </w:p>
    <w:p w:rsidR="009F534E" w:rsidRDefault="00E64051" w:rsidP="006C6AAE">
      <w:pPr>
        <w:pStyle w:val="a5"/>
        <w:spacing w:before="156" w:after="156" w:line="240" w:lineRule="auto"/>
        <w:ind w:firstLine="560"/>
      </w:pPr>
      <w:r>
        <w:fldChar w:fldCharType="begin"/>
      </w:r>
      <w:r>
        <w:instrText xml:space="preserve"> </w:instrText>
      </w:r>
      <w:r>
        <w:rPr>
          <w:rFonts w:hint="eastAsia"/>
        </w:rPr>
        <w:instrText>= 2 \* GB3</w:instrText>
      </w:r>
      <w:r>
        <w:instrText xml:space="preserve"> </w:instrText>
      </w:r>
      <w:r>
        <w:fldChar w:fldCharType="separate"/>
      </w:r>
      <w:r>
        <w:rPr>
          <w:rFonts w:hint="eastAsia"/>
        </w:rPr>
        <w:t>②</w:t>
      </w:r>
      <w:r>
        <w:fldChar w:fldCharType="end"/>
      </w:r>
      <w:r>
        <w:rPr>
          <w:rFonts w:hint="eastAsia"/>
        </w:rPr>
        <w:t>排水方面：本次调整范围内排水体制为雨污分流制，雨水排水管网系统不受本次调整影响。城市污水量由用水量推测，污水</w:t>
      </w:r>
      <w:proofErr w:type="gramStart"/>
      <w:r>
        <w:rPr>
          <w:rFonts w:hint="eastAsia"/>
        </w:rPr>
        <w:t>量按照</w:t>
      </w:r>
      <w:proofErr w:type="gramEnd"/>
      <w:r>
        <w:rPr>
          <w:rFonts w:hint="eastAsia"/>
        </w:rPr>
        <w:t>用水量的</w:t>
      </w:r>
      <w:r>
        <w:rPr>
          <w:rFonts w:hint="eastAsia"/>
        </w:rPr>
        <w:t>80%</w:t>
      </w:r>
      <w:r>
        <w:rPr>
          <w:rFonts w:hint="eastAsia"/>
        </w:rPr>
        <w:t>计算，故污水排放量增加</w:t>
      </w:r>
      <w:r>
        <w:rPr>
          <w:rFonts w:hint="eastAsia"/>
        </w:rPr>
        <w:t>129.31m</w:t>
      </w:r>
      <w:r>
        <w:rPr>
          <w:rFonts w:hint="eastAsia"/>
        </w:rPr>
        <w:t>³</w:t>
      </w:r>
      <w:r>
        <w:rPr>
          <w:rFonts w:hint="eastAsia"/>
        </w:rPr>
        <w:t>/</w:t>
      </w:r>
      <w:r>
        <w:rPr>
          <w:rFonts w:hint="eastAsia"/>
        </w:rPr>
        <w:t>天。经校核，原规划</w:t>
      </w:r>
      <w:r>
        <w:rPr>
          <w:rFonts w:ascii="黑体" w:eastAsia="黑体" w:hAnsi="宋体" w:hint="eastAsia"/>
          <w:color w:val="000000"/>
          <w:kern w:val="0"/>
          <w:szCs w:val="28"/>
        </w:rPr>
        <w:t>B</w:t>
      </w:r>
      <w:r>
        <w:rPr>
          <w:rFonts w:ascii="宋体" w:hAnsi="宋体" w:hint="eastAsia"/>
          <w:szCs w:val="28"/>
        </w:rPr>
        <w:t>单元</w:t>
      </w:r>
      <w:r>
        <w:rPr>
          <w:rFonts w:hint="eastAsia"/>
        </w:rPr>
        <w:t>中的污水排水管管径做适当调整后，仍可满足调整后的排水需求。</w:t>
      </w:r>
    </w:p>
    <w:p w:rsidR="009F534E" w:rsidRDefault="00E64051" w:rsidP="006C6AAE">
      <w:pPr>
        <w:pStyle w:val="a5"/>
        <w:spacing w:before="156" w:after="156" w:line="240" w:lineRule="auto"/>
        <w:ind w:firstLine="560"/>
      </w:pPr>
      <w:r>
        <w:fldChar w:fldCharType="begin"/>
      </w:r>
      <w:r>
        <w:instrText xml:space="preserve"> </w:instrText>
      </w:r>
      <w:r>
        <w:rPr>
          <w:rFonts w:hint="eastAsia"/>
        </w:rPr>
        <w:instrText>= 3 \* GB3</w:instrText>
      </w:r>
      <w:r>
        <w:instrText xml:space="preserve"> </w:instrText>
      </w:r>
      <w:r>
        <w:fldChar w:fldCharType="separate"/>
      </w:r>
      <w:r>
        <w:rPr>
          <w:rFonts w:hint="eastAsia"/>
        </w:rPr>
        <w:t>③</w:t>
      </w:r>
      <w:r>
        <w:fldChar w:fldCharType="end"/>
      </w:r>
      <w:r>
        <w:rPr>
          <w:rFonts w:hint="eastAsia"/>
        </w:rPr>
        <w:t>电力方面：根据</w:t>
      </w:r>
      <w:r>
        <w:rPr>
          <w:szCs w:val="28"/>
        </w:rPr>
        <w:t>《城市电力规划规范》</w:t>
      </w:r>
      <w:r>
        <w:rPr>
          <w:rFonts w:hint="eastAsia"/>
          <w:szCs w:val="28"/>
        </w:rPr>
        <w:t>，</w:t>
      </w:r>
      <w:r>
        <w:rPr>
          <w:rFonts w:ascii="宋体" w:hAnsi="宋体" w:hint="eastAsia"/>
          <w:szCs w:val="28"/>
        </w:rPr>
        <w:t>住宅用户按每户4KW考虑，</w:t>
      </w:r>
      <w:r>
        <w:rPr>
          <w:rFonts w:hint="eastAsia"/>
        </w:rPr>
        <w:t>由于本次调整后户数增加</w:t>
      </w:r>
      <w:r>
        <w:rPr>
          <w:rFonts w:hint="eastAsia"/>
        </w:rPr>
        <w:t>385</w:t>
      </w:r>
      <w:r>
        <w:rPr>
          <w:rFonts w:hint="eastAsia"/>
        </w:rPr>
        <w:t>户，故片区内用电量负荷共增加</w:t>
      </w:r>
      <w:r>
        <w:rPr>
          <w:rFonts w:hint="eastAsia"/>
        </w:rPr>
        <w:t>1539kw</w:t>
      </w:r>
      <w:r>
        <w:rPr>
          <w:rFonts w:hint="eastAsia"/>
        </w:rPr>
        <w:t>。</w:t>
      </w:r>
      <w:r>
        <w:rPr>
          <w:rFonts w:cs="MS Mincho" w:hint="eastAsia"/>
        </w:rPr>
        <w:t>经校核，</w:t>
      </w:r>
      <w:r>
        <w:rPr>
          <w:rFonts w:hint="eastAsia"/>
        </w:rPr>
        <w:t>原规划</w:t>
      </w:r>
      <w:r>
        <w:rPr>
          <w:rFonts w:ascii="黑体" w:eastAsia="黑体" w:hAnsi="宋体" w:hint="eastAsia"/>
          <w:color w:val="000000"/>
          <w:kern w:val="0"/>
          <w:szCs w:val="28"/>
        </w:rPr>
        <w:t>B</w:t>
      </w:r>
      <w:r>
        <w:rPr>
          <w:rFonts w:ascii="宋体" w:hAnsi="宋体" w:hint="eastAsia"/>
          <w:szCs w:val="28"/>
        </w:rPr>
        <w:t>单元</w:t>
      </w:r>
      <w:r>
        <w:rPr>
          <w:rFonts w:hint="eastAsia"/>
        </w:rPr>
        <w:t>中的</w:t>
      </w:r>
      <w:r>
        <w:rPr>
          <w:rFonts w:cs="MS Mincho" w:hint="eastAsia"/>
        </w:rPr>
        <w:t>电力网系统不需做调整，仍可满足片区的用电需求</w:t>
      </w:r>
      <w:r>
        <w:rPr>
          <w:rFonts w:hint="eastAsia"/>
        </w:rPr>
        <w:t>。</w:t>
      </w:r>
    </w:p>
    <w:p w:rsidR="009F534E" w:rsidRDefault="00E64051" w:rsidP="006C6AAE">
      <w:pPr>
        <w:pStyle w:val="a5"/>
        <w:spacing w:before="156" w:after="156" w:line="240" w:lineRule="auto"/>
        <w:ind w:firstLine="560"/>
      </w:pPr>
      <w:r>
        <w:fldChar w:fldCharType="begin"/>
      </w:r>
      <w:r>
        <w:instrText xml:space="preserve"> </w:instrText>
      </w:r>
      <w:r>
        <w:rPr>
          <w:rFonts w:hint="eastAsia"/>
        </w:rPr>
        <w:instrText>= 4 \* GB3</w:instrText>
      </w:r>
      <w:r>
        <w:instrText xml:space="preserve"> </w:instrText>
      </w:r>
      <w:r>
        <w:fldChar w:fldCharType="separate"/>
      </w:r>
      <w:r>
        <w:rPr>
          <w:rFonts w:hint="eastAsia"/>
        </w:rPr>
        <w:t>④</w:t>
      </w:r>
      <w:r>
        <w:fldChar w:fldCharType="end"/>
      </w:r>
      <w:r>
        <w:rPr>
          <w:rFonts w:hint="eastAsia"/>
        </w:rPr>
        <w:t>通信方面：本次调整后将根据居民生活需求，保障网络光纤入户，广播电视和移动通信网络覆盖率达</w:t>
      </w:r>
      <w:r>
        <w:rPr>
          <w:rFonts w:hint="eastAsia"/>
        </w:rPr>
        <w:t>100%</w:t>
      </w:r>
      <w:r>
        <w:rPr>
          <w:rFonts w:hint="eastAsia"/>
        </w:rPr>
        <w:t>。</w:t>
      </w:r>
      <w:r>
        <w:rPr>
          <w:rFonts w:hint="eastAsia"/>
        </w:rPr>
        <w:t xml:space="preserve"> </w:t>
      </w:r>
      <w:r>
        <w:rPr>
          <w:rFonts w:hint="eastAsia"/>
        </w:rPr>
        <w:t>原规划电信线路根据调整后的道路变化做相应调整，规划电信局模块机房容量需根据棚户区改造进程的实际负荷进行扩容。</w:t>
      </w:r>
    </w:p>
    <w:p w:rsidR="009F534E" w:rsidRDefault="00E64051" w:rsidP="006C6AAE">
      <w:pPr>
        <w:pStyle w:val="a5"/>
        <w:spacing w:before="156" w:after="156" w:line="240" w:lineRule="auto"/>
        <w:ind w:firstLine="560"/>
      </w:pPr>
      <w:r>
        <w:fldChar w:fldCharType="begin"/>
      </w:r>
      <w:r>
        <w:instrText xml:space="preserve"> </w:instrText>
      </w:r>
      <w:r>
        <w:rPr>
          <w:rFonts w:hint="eastAsia"/>
        </w:rPr>
        <w:instrText>= 5 \* GB3</w:instrText>
      </w:r>
      <w:r>
        <w:instrText xml:space="preserve"> </w:instrText>
      </w:r>
      <w:r>
        <w:fldChar w:fldCharType="separate"/>
      </w:r>
      <w:r>
        <w:rPr>
          <w:rFonts w:hint="eastAsia"/>
        </w:rPr>
        <w:t>⑤</w:t>
      </w:r>
      <w:r>
        <w:fldChar w:fldCharType="end"/>
      </w:r>
      <w:r>
        <w:rPr>
          <w:rFonts w:hint="eastAsia"/>
        </w:rPr>
        <w:t>供热方面：本次调整后总建筑面积增加</w:t>
      </w:r>
      <w:r>
        <w:rPr>
          <w:rFonts w:hint="eastAsia"/>
        </w:rPr>
        <w:t>0.46</w:t>
      </w:r>
      <w:r>
        <w:rPr>
          <w:rFonts w:hint="eastAsia"/>
        </w:rPr>
        <w:t>万㎡，</w:t>
      </w:r>
      <w:r>
        <w:t>民用节能建筑</w:t>
      </w:r>
      <w:proofErr w:type="gramStart"/>
      <w:r>
        <w:t>热指标</w:t>
      </w:r>
      <w:proofErr w:type="gramEnd"/>
      <w:r>
        <w:rPr>
          <w:rFonts w:hint="eastAsia"/>
        </w:rPr>
        <w:t>按</w:t>
      </w:r>
      <w:r>
        <w:rPr>
          <w:rFonts w:hint="eastAsia"/>
        </w:rPr>
        <w:t>32W/</w:t>
      </w:r>
      <w:r>
        <w:rPr>
          <w:rFonts w:hint="eastAsia"/>
        </w:rPr>
        <w:t>㎡计，故需要增加集中供热负荷为</w:t>
      </w:r>
      <w:r>
        <w:rPr>
          <w:rFonts w:hint="eastAsia"/>
        </w:rPr>
        <w:t>0.147MW</w:t>
      </w:r>
      <w:r>
        <w:rPr>
          <w:rFonts w:hint="eastAsia"/>
        </w:rPr>
        <w:t>。经校核，原规划</w:t>
      </w:r>
      <w:r>
        <w:rPr>
          <w:rFonts w:ascii="黑体" w:eastAsia="黑体" w:hAnsi="宋体" w:hint="eastAsia"/>
          <w:color w:val="000000"/>
          <w:kern w:val="0"/>
          <w:szCs w:val="28"/>
        </w:rPr>
        <w:t>B</w:t>
      </w:r>
      <w:r>
        <w:rPr>
          <w:rFonts w:ascii="宋体" w:hAnsi="宋体" w:hint="eastAsia"/>
          <w:szCs w:val="28"/>
        </w:rPr>
        <w:t>单元</w:t>
      </w:r>
      <w:r>
        <w:rPr>
          <w:rFonts w:hint="eastAsia"/>
        </w:rPr>
        <w:t>中的城市热力管网仍可以承载本次调整范围内居民生产生活供热需求。</w:t>
      </w:r>
    </w:p>
    <w:p w:rsidR="009F534E" w:rsidRDefault="00E64051" w:rsidP="006C6AAE">
      <w:pPr>
        <w:pStyle w:val="a5"/>
        <w:spacing w:before="156" w:after="156" w:line="240" w:lineRule="auto"/>
        <w:ind w:firstLine="560"/>
      </w:pPr>
      <w:r>
        <w:fldChar w:fldCharType="begin"/>
      </w:r>
      <w:r>
        <w:instrText xml:space="preserve"> </w:instrText>
      </w:r>
      <w:r>
        <w:rPr>
          <w:rFonts w:hint="eastAsia"/>
        </w:rPr>
        <w:instrText>= 6 \* GB3</w:instrText>
      </w:r>
      <w:r>
        <w:instrText xml:space="preserve"> </w:instrText>
      </w:r>
      <w:r>
        <w:fldChar w:fldCharType="separate"/>
      </w:r>
      <w:r>
        <w:rPr>
          <w:rFonts w:hint="eastAsia"/>
        </w:rPr>
        <w:t>⑥</w:t>
      </w:r>
      <w:r>
        <w:fldChar w:fldCharType="end"/>
      </w:r>
      <w:r>
        <w:rPr>
          <w:rFonts w:hint="eastAsia"/>
        </w:rPr>
        <w:t>燃气方面</w:t>
      </w:r>
      <w:r>
        <w:rPr>
          <w:rFonts w:hint="eastAsia"/>
          <w:color w:val="0000FF"/>
        </w:rPr>
        <w:t>：</w:t>
      </w:r>
      <w:r>
        <w:rPr>
          <w:rFonts w:hint="eastAsia"/>
          <w:szCs w:val="24"/>
        </w:rPr>
        <w:t>居民耗气量指标为</w:t>
      </w:r>
      <w:r>
        <w:rPr>
          <w:rFonts w:hint="eastAsia"/>
          <w:szCs w:val="24"/>
        </w:rPr>
        <w:t>0.188m</w:t>
      </w:r>
      <w:r>
        <w:rPr>
          <w:rFonts w:hint="eastAsia"/>
          <w:szCs w:val="24"/>
          <w:vertAlign w:val="superscript"/>
        </w:rPr>
        <w:t>3</w:t>
      </w:r>
      <w:r>
        <w:rPr>
          <w:rFonts w:hint="eastAsia"/>
          <w:szCs w:val="24"/>
        </w:rPr>
        <w:t>/</w:t>
      </w:r>
      <w:r>
        <w:rPr>
          <w:rFonts w:hint="eastAsia"/>
          <w:szCs w:val="24"/>
        </w:rPr>
        <w:t>人</w:t>
      </w:r>
      <w:r>
        <w:rPr>
          <w:rFonts w:hint="eastAsia"/>
          <w:szCs w:val="24"/>
        </w:rPr>
        <w:t>.</w:t>
      </w:r>
      <w:r>
        <w:rPr>
          <w:rFonts w:hint="eastAsia"/>
          <w:szCs w:val="24"/>
        </w:rPr>
        <w:t>天，</w:t>
      </w:r>
      <w:r>
        <w:rPr>
          <w:rFonts w:hint="eastAsia"/>
        </w:rPr>
        <w:t>本次调整后片区居住人口共增加</w:t>
      </w:r>
      <w:r>
        <w:rPr>
          <w:rFonts w:hint="eastAsia"/>
        </w:rPr>
        <w:t>1238</w:t>
      </w:r>
      <w:r>
        <w:rPr>
          <w:rFonts w:hint="eastAsia"/>
        </w:rPr>
        <w:t>人，综合分析预测日用气量增加</w:t>
      </w:r>
      <w:r>
        <w:rPr>
          <w:rFonts w:hint="eastAsia"/>
        </w:rPr>
        <w:t>253.2</w:t>
      </w:r>
      <w:r>
        <w:rPr>
          <w:rFonts w:hint="eastAsia"/>
          <w:szCs w:val="24"/>
        </w:rPr>
        <w:t>m</w:t>
      </w:r>
      <w:r>
        <w:rPr>
          <w:rFonts w:hint="eastAsia"/>
          <w:szCs w:val="24"/>
          <w:vertAlign w:val="superscript"/>
        </w:rPr>
        <w:t>3</w:t>
      </w:r>
      <w:r>
        <w:rPr>
          <w:rFonts w:hint="eastAsia"/>
          <w:szCs w:val="24"/>
        </w:rPr>
        <w:t>/</w:t>
      </w:r>
      <w:r>
        <w:rPr>
          <w:rFonts w:hint="eastAsia"/>
        </w:rPr>
        <w:t>天。</w:t>
      </w:r>
      <w:r>
        <w:rPr>
          <w:rFonts w:hint="eastAsia"/>
        </w:rPr>
        <w:lastRenderedPageBreak/>
        <w:t>经校核，原规划</w:t>
      </w:r>
      <w:r>
        <w:rPr>
          <w:rFonts w:ascii="黑体" w:eastAsia="黑体" w:hAnsi="宋体" w:hint="eastAsia"/>
          <w:color w:val="000000"/>
          <w:kern w:val="0"/>
          <w:szCs w:val="28"/>
        </w:rPr>
        <w:t>B</w:t>
      </w:r>
      <w:r>
        <w:rPr>
          <w:rFonts w:ascii="宋体" w:hAnsi="宋体" w:hint="eastAsia"/>
          <w:szCs w:val="28"/>
        </w:rPr>
        <w:t>单元</w:t>
      </w:r>
      <w:r>
        <w:rPr>
          <w:rFonts w:hint="eastAsia"/>
        </w:rPr>
        <w:t>中的城市燃气管网管径做适当调整后仍可以满足本次调整范围内居民生产生活燃气需求。</w:t>
      </w:r>
    </w:p>
    <w:p w:rsidR="009F534E" w:rsidRDefault="00E64051" w:rsidP="006C6AAE">
      <w:pPr>
        <w:pStyle w:val="a5"/>
        <w:spacing w:before="156" w:after="156" w:line="240" w:lineRule="auto"/>
        <w:ind w:firstLine="560"/>
      </w:pPr>
      <w:r>
        <w:rPr>
          <w:rFonts w:hint="eastAsia"/>
        </w:rPr>
        <w:t>综上所述，本次调整后调整范围内的建筑面积有所增加、人口有所增加，市政基础设施方面经校核后进行合理调整，仍可满足该区域内居民生产生活的需求。</w:t>
      </w:r>
    </w:p>
    <w:p w:rsidR="009F534E" w:rsidRDefault="00E64051" w:rsidP="006C6AAE">
      <w:pPr>
        <w:spacing w:beforeLines="50" w:before="156" w:afterLines="50" w:after="156" w:line="360" w:lineRule="auto"/>
        <w:ind w:firstLine="560"/>
      </w:pPr>
      <w:r>
        <w:rPr>
          <w:rFonts w:hint="eastAsia"/>
        </w:rPr>
        <w:t>4</w:t>
      </w:r>
      <w:r>
        <w:rPr>
          <w:rFonts w:hint="eastAsia"/>
        </w:rPr>
        <w:t>、日照方面</w:t>
      </w:r>
    </w:p>
    <w:p w:rsidR="009F534E" w:rsidRDefault="00E64051" w:rsidP="006C6AAE">
      <w:pPr>
        <w:spacing w:beforeLines="50" w:before="156" w:afterLines="50" w:after="156" w:line="360" w:lineRule="auto"/>
        <w:ind w:firstLine="560"/>
      </w:pPr>
      <w:r>
        <w:rPr>
          <w:rFonts w:hint="eastAsia"/>
        </w:rPr>
        <w:t>本次规划地块为</w:t>
      </w:r>
      <w:r>
        <w:rPr>
          <w:rFonts w:ascii="宋体" w:hAnsi="宋体" w:hint="eastAsia"/>
          <w:szCs w:val="28"/>
        </w:rPr>
        <w:t>沁源县城中村棚户区改造项目，</w:t>
      </w:r>
      <w:r>
        <w:rPr>
          <w:rFonts w:hint="eastAsia"/>
        </w:rPr>
        <w:t>依据《长治市城乡规划管理技术规定》（长政办发【</w:t>
      </w:r>
      <w:r>
        <w:rPr>
          <w:rFonts w:hint="eastAsia"/>
        </w:rPr>
        <w:t>2014</w:t>
      </w:r>
      <w:r>
        <w:rPr>
          <w:rFonts w:hint="eastAsia"/>
        </w:rPr>
        <w:t>】</w:t>
      </w:r>
      <w:r>
        <w:rPr>
          <w:rFonts w:hint="eastAsia"/>
        </w:rPr>
        <w:t>105</w:t>
      </w:r>
      <w:r>
        <w:rPr>
          <w:rFonts w:hint="eastAsia"/>
        </w:rPr>
        <w:t>号）和《长治市建筑工程日照分析技术管理规则》（长</w:t>
      </w:r>
      <w:proofErr w:type="gramStart"/>
      <w:r>
        <w:rPr>
          <w:rFonts w:hint="eastAsia"/>
        </w:rPr>
        <w:t>规</w:t>
      </w:r>
      <w:proofErr w:type="gramEnd"/>
      <w:r>
        <w:rPr>
          <w:rFonts w:hint="eastAsia"/>
        </w:rPr>
        <w:t>发【</w:t>
      </w:r>
      <w:r>
        <w:rPr>
          <w:rFonts w:hint="eastAsia"/>
        </w:rPr>
        <w:t>2014</w:t>
      </w:r>
      <w:r>
        <w:rPr>
          <w:rFonts w:hint="eastAsia"/>
        </w:rPr>
        <w:t>】</w:t>
      </w:r>
      <w:r>
        <w:rPr>
          <w:rFonts w:hint="eastAsia"/>
        </w:rPr>
        <w:t>126</w:t>
      </w:r>
      <w:r>
        <w:rPr>
          <w:rFonts w:hint="eastAsia"/>
        </w:rPr>
        <w:t>号）的中的相关要求：新建住宅日照标准不应低于大寒</w:t>
      </w:r>
      <w:proofErr w:type="gramStart"/>
      <w:r>
        <w:rPr>
          <w:rFonts w:hint="eastAsia"/>
        </w:rPr>
        <w:t>日</w:t>
      </w:r>
      <w:proofErr w:type="gramEnd"/>
      <w:r>
        <w:rPr>
          <w:rFonts w:hint="eastAsia"/>
        </w:rPr>
        <w:t>日照</w:t>
      </w:r>
      <w:r>
        <w:rPr>
          <w:rFonts w:hint="eastAsia"/>
        </w:rPr>
        <w:t>3</w:t>
      </w:r>
      <w:r>
        <w:rPr>
          <w:rFonts w:hint="eastAsia"/>
        </w:rPr>
        <w:t>小时标准。</w:t>
      </w:r>
    </w:p>
    <w:p w:rsidR="009F534E" w:rsidRDefault="00E64051" w:rsidP="006C6AAE">
      <w:pPr>
        <w:spacing w:beforeLines="50" w:before="156" w:afterLines="50" w:after="156" w:line="360" w:lineRule="auto"/>
        <w:ind w:firstLine="560"/>
      </w:pPr>
      <w:r>
        <w:rPr>
          <w:rFonts w:hint="eastAsia"/>
        </w:rPr>
        <w:t>5</w:t>
      </w:r>
      <w:r>
        <w:rPr>
          <w:rFonts w:hint="eastAsia"/>
        </w:rPr>
        <w:t>、交通方面</w:t>
      </w:r>
    </w:p>
    <w:p w:rsidR="009F534E" w:rsidRDefault="00E64051">
      <w:pPr>
        <w:pStyle w:val="a5"/>
        <w:spacing w:before="156" w:after="156"/>
        <w:ind w:firstLine="560"/>
      </w:pPr>
      <w:r>
        <w:rPr>
          <w:rFonts w:hint="eastAsia"/>
        </w:rPr>
        <w:t>1</w:t>
      </w:r>
      <w:r>
        <w:rPr>
          <w:rFonts w:hint="eastAsia"/>
        </w:rPr>
        <w:t>）动态交通：</w:t>
      </w:r>
    </w:p>
    <w:p w:rsidR="009F534E" w:rsidRDefault="00E64051" w:rsidP="006C6AAE">
      <w:pPr>
        <w:ind w:firstLine="560"/>
      </w:pPr>
      <w:r>
        <w:rPr>
          <w:rFonts w:hint="eastAsia"/>
        </w:rPr>
        <w:t>依据本次规划调整地块的周边道路情况，确定本次规划调整</w:t>
      </w:r>
      <w:r>
        <w:rPr>
          <w:rFonts w:hint="eastAsia"/>
        </w:rPr>
        <w:t>C-15</w:t>
      </w:r>
      <w:r>
        <w:rPr>
          <w:rFonts w:hint="eastAsia"/>
        </w:rPr>
        <w:t>街坊影响道路为小河东街、纬十路、经三路、外环路。</w:t>
      </w:r>
    </w:p>
    <w:p w:rsidR="009F534E" w:rsidRDefault="00E64051" w:rsidP="006C6AAE">
      <w:pPr>
        <w:ind w:firstLine="560"/>
      </w:pPr>
      <w:r>
        <w:rPr>
          <w:rFonts w:hint="eastAsia"/>
        </w:rPr>
        <w:t>出行预测：</w:t>
      </w:r>
    </w:p>
    <w:p w:rsidR="009F534E" w:rsidRDefault="00E64051" w:rsidP="006C6AAE">
      <w:pPr>
        <w:ind w:firstLine="560"/>
      </w:pPr>
      <w:r>
        <w:rPr>
          <w:rFonts w:hint="eastAsia"/>
        </w:rPr>
        <w:t>人均出行次数：参考《建设项目交通影响评价技术标准》（</w:t>
      </w:r>
      <w:r>
        <w:rPr>
          <w:rFonts w:hint="eastAsia"/>
        </w:rPr>
        <w:t>CJJ/T141-2010</w:t>
      </w:r>
      <w:r>
        <w:rPr>
          <w:rFonts w:hint="eastAsia"/>
        </w:rPr>
        <w:t>），普通住宅高峰小时出行率参考值</w:t>
      </w:r>
      <w:r>
        <w:rPr>
          <w:rFonts w:hint="eastAsia"/>
        </w:rPr>
        <w:t>0.8-2.5</w:t>
      </w:r>
      <w:r>
        <w:rPr>
          <w:rFonts w:hint="eastAsia"/>
        </w:rPr>
        <w:t>人次</w:t>
      </w:r>
      <w:r>
        <w:rPr>
          <w:rFonts w:hint="eastAsia"/>
        </w:rPr>
        <w:t>/</w:t>
      </w:r>
      <w:r>
        <w:rPr>
          <w:rFonts w:hint="eastAsia"/>
        </w:rPr>
        <w:t>户，本次调整范围内各街坊高峰小时出行总量见下表：</w:t>
      </w:r>
    </w:p>
    <w:tbl>
      <w:tblPr>
        <w:tblW w:w="8200" w:type="dxa"/>
        <w:tblInd w:w="78" w:type="dxa"/>
        <w:tblLayout w:type="fixed"/>
        <w:tblLook w:val="04A0" w:firstRow="1" w:lastRow="0" w:firstColumn="1" w:lastColumn="0" w:noHBand="0" w:noVBand="1"/>
      </w:tblPr>
      <w:tblGrid>
        <w:gridCol w:w="1171"/>
        <w:gridCol w:w="1172"/>
        <w:gridCol w:w="1171"/>
        <w:gridCol w:w="1172"/>
        <w:gridCol w:w="1171"/>
        <w:gridCol w:w="1172"/>
        <w:gridCol w:w="1171"/>
      </w:tblGrid>
      <w:tr w:rsidR="009F534E">
        <w:trPr>
          <w:trHeight w:val="1394"/>
        </w:trPr>
        <w:tc>
          <w:tcPr>
            <w:tcW w:w="1171" w:type="dxa"/>
            <w:tcBorders>
              <w:top w:val="single" w:sz="6" w:space="0" w:color="auto"/>
              <w:left w:val="single" w:sz="6" w:space="0" w:color="auto"/>
              <w:bottom w:val="single" w:sz="6" w:space="0" w:color="auto"/>
              <w:right w:val="single" w:sz="6" w:space="0" w:color="auto"/>
            </w:tcBorders>
            <w:shd w:val="solid" w:color="FFFFFF" w:fill="auto"/>
            <w:vAlign w:val="center"/>
          </w:tcPr>
          <w:p w:rsidR="009F534E" w:rsidRDefault="00E64051">
            <w:pPr>
              <w:autoSpaceDE w:val="0"/>
              <w:autoSpaceDN w:val="0"/>
              <w:ind w:firstLineChars="0" w:firstLine="0"/>
              <w:jc w:val="center"/>
              <w:rPr>
                <w:rFonts w:ascii="宋体" w:hAnsi="宋体"/>
                <w:b/>
                <w:color w:val="000000"/>
                <w:sz w:val="22"/>
              </w:rPr>
            </w:pPr>
            <w:r>
              <w:rPr>
                <w:rFonts w:ascii="宋体" w:hAnsi="宋体" w:hint="eastAsia"/>
                <w:b/>
                <w:color w:val="000000"/>
                <w:sz w:val="22"/>
              </w:rPr>
              <w:t>街坊</w:t>
            </w:r>
          </w:p>
        </w:tc>
        <w:tc>
          <w:tcPr>
            <w:tcW w:w="1172" w:type="dxa"/>
            <w:tcBorders>
              <w:top w:val="single" w:sz="6" w:space="0" w:color="auto"/>
              <w:left w:val="single" w:sz="6" w:space="0" w:color="auto"/>
              <w:bottom w:val="single" w:sz="6" w:space="0" w:color="auto"/>
              <w:right w:val="single" w:sz="6" w:space="0" w:color="auto"/>
            </w:tcBorders>
            <w:shd w:val="solid" w:color="FFFFFF" w:fill="auto"/>
            <w:vAlign w:val="center"/>
          </w:tcPr>
          <w:p w:rsidR="009F534E" w:rsidRDefault="00E64051">
            <w:pPr>
              <w:autoSpaceDE w:val="0"/>
              <w:autoSpaceDN w:val="0"/>
              <w:ind w:firstLineChars="0" w:firstLine="0"/>
              <w:jc w:val="center"/>
              <w:rPr>
                <w:rFonts w:ascii="宋体" w:hAnsi="宋体"/>
                <w:b/>
                <w:color w:val="000000"/>
                <w:sz w:val="22"/>
              </w:rPr>
            </w:pPr>
            <w:r>
              <w:rPr>
                <w:rFonts w:ascii="宋体" w:hAnsi="宋体" w:hint="eastAsia"/>
                <w:b/>
                <w:color w:val="000000"/>
                <w:sz w:val="22"/>
              </w:rPr>
              <w:t>项目</w:t>
            </w:r>
          </w:p>
        </w:tc>
        <w:tc>
          <w:tcPr>
            <w:tcW w:w="1171" w:type="dxa"/>
            <w:tcBorders>
              <w:top w:val="single" w:sz="6" w:space="0" w:color="auto"/>
              <w:left w:val="single" w:sz="6" w:space="0" w:color="auto"/>
              <w:bottom w:val="single" w:sz="6" w:space="0" w:color="auto"/>
              <w:right w:val="single" w:sz="6" w:space="0" w:color="auto"/>
            </w:tcBorders>
            <w:shd w:val="solid" w:color="FFFFFF" w:fill="auto"/>
            <w:vAlign w:val="center"/>
          </w:tcPr>
          <w:p w:rsidR="009F534E" w:rsidRDefault="00E64051">
            <w:pPr>
              <w:autoSpaceDE w:val="0"/>
              <w:autoSpaceDN w:val="0"/>
              <w:ind w:firstLineChars="0" w:firstLine="0"/>
              <w:jc w:val="center"/>
              <w:rPr>
                <w:rFonts w:ascii="宋体" w:hAnsi="宋体"/>
                <w:b/>
                <w:color w:val="000000"/>
                <w:sz w:val="22"/>
              </w:rPr>
            </w:pPr>
            <w:r>
              <w:rPr>
                <w:rFonts w:ascii="宋体" w:hAnsi="宋体" w:hint="eastAsia"/>
                <w:b/>
                <w:color w:val="000000"/>
                <w:sz w:val="22"/>
              </w:rPr>
              <w:t>分类</w:t>
            </w:r>
          </w:p>
        </w:tc>
        <w:tc>
          <w:tcPr>
            <w:tcW w:w="1172" w:type="dxa"/>
            <w:tcBorders>
              <w:top w:val="single" w:sz="6" w:space="0" w:color="auto"/>
              <w:left w:val="single" w:sz="6" w:space="0" w:color="auto"/>
              <w:bottom w:val="single" w:sz="6" w:space="0" w:color="auto"/>
              <w:right w:val="single" w:sz="6" w:space="0" w:color="auto"/>
            </w:tcBorders>
            <w:shd w:val="solid" w:color="FFFFFF" w:fill="auto"/>
            <w:vAlign w:val="center"/>
          </w:tcPr>
          <w:p w:rsidR="009F534E" w:rsidRDefault="00E64051">
            <w:pPr>
              <w:autoSpaceDE w:val="0"/>
              <w:autoSpaceDN w:val="0"/>
              <w:ind w:firstLineChars="0" w:firstLine="0"/>
              <w:jc w:val="center"/>
              <w:rPr>
                <w:rFonts w:ascii="宋体" w:hAnsi="宋体"/>
                <w:b/>
                <w:color w:val="000000"/>
                <w:sz w:val="22"/>
              </w:rPr>
            </w:pPr>
            <w:r>
              <w:rPr>
                <w:rFonts w:ascii="宋体" w:hAnsi="宋体" w:hint="eastAsia"/>
                <w:b/>
                <w:color w:val="000000"/>
                <w:sz w:val="22"/>
              </w:rPr>
              <w:t>计量单位</w:t>
            </w:r>
          </w:p>
        </w:tc>
        <w:tc>
          <w:tcPr>
            <w:tcW w:w="1171" w:type="dxa"/>
            <w:tcBorders>
              <w:top w:val="single" w:sz="6" w:space="0" w:color="auto"/>
              <w:left w:val="single" w:sz="6" w:space="0" w:color="auto"/>
              <w:bottom w:val="single" w:sz="6" w:space="0" w:color="auto"/>
              <w:right w:val="single" w:sz="6" w:space="0" w:color="auto"/>
            </w:tcBorders>
            <w:shd w:val="solid" w:color="FFFFFF" w:fill="auto"/>
            <w:vAlign w:val="center"/>
          </w:tcPr>
          <w:p w:rsidR="009F534E" w:rsidRDefault="00E64051">
            <w:pPr>
              <w:autoSpaceDE w:val="0"/>
              <w:autoSpaceDN w:val="0"/>
              <w:ind w:firstLineChars="0" w:firstLine="0"/>
              <w:jc w:val="center"/>
              <w:rPr>
                <w:rFonts w:ascii="宋体" w:hAnsi="宋体"/>
                <w:b/>
                <w:color w:val="000000"/>
                <w:sz w:val="22"/>
              </w:rPr>
            </w:pPr>
            <w:r>
              <w:rPr>
                <w:rFonts w:ascii="宋体" w:hAnsi="宋体" w:hint="eastAsia"/>
                <w:b/>
                <w:color w:val="000000"/>
                <w:sz w:val="22"/>
              </w:rPr>
              <w:t>规划方案</w:t>
            </w:r>
          </w:p>
        </w:tc>
        <w:tc>
          <w:tcPr>
            <w:tcW w:w="1172" w:type="dxa"/>
            <w:tcBorders>
              <w:top w:val="single" w:sz="6" w:space="0" w:color="auto"/>
              <w:left w:val="single" w:sz="6" w:space="0" w:color="auto"/>
              <w:bottom w:val="single" w:sz="6" w:space="0" w:color="auto"/>
              <w:right w:val="single" w:sz="6" w:space="0" w:color="auto"/>
            </w:tcBorders>
            <w:shd w:val="solid" w:color="FFFFFF" w:fill="auto"/>
            <w:vAlign w:val="center"/>
          </w:tcPr>
          <w:p w:rsidR="009F534E" w:rsidRDefault="00E64051">
            <w:pPr>
              <w:autoSpaceDE w:val="0"/>
              <w:autoSpaceDN w:val="0"/>
              <w:ind w:firstLineChars="0" w:firstLine="0"/>
              <w:jc w:val="center"/>
              <w:rPr>
                <w:rFonts w:ascii="宋体" w:hAnsi="宋体"/>
                <w:b/>
                <w:color w:val="000000"/>
                <w:sz w:val="22"/>
              </w:rPr>
            </w:pPr>
            <w:r>
              <w:rPr>
                <w:rFonts w:ascii="宋体" w:hAnsi="宋体" w:hint="eastAsia"/>
                <w:b/>
                <w:color w:val="000000"/>
                <w:sz w:val="22"/>
              </w:rPr>
              <w:t>参考</w:t>
            </w:r>
            <w:proofErr w:type="gramStart"/>
            <w:r>
              <w:rPr>
                <w:rFonts w:ascii="宋体" w:hAnsi="宋体" w:hint="eastAsia"/>
                <w:b/>
                <w:color w:val="000000"/>
                <w:sz w:val="22"/>
              </w:rPr>
              <w:t>值标准</w:t>
            </w:r>
            <w:proofErr w:type="gramEnd"/>
          </w:p>
        </w:tc>
        <w:tc>
          <w:tcPr>
            <w:tcW w:w="1171" w:type="dxa"/>
            <w:tcBorders>
              <w:top w:val="single" w:sz="6" w:space="0" w:color="auto"/>
              <w:left w:val="single" w:sz="6" w:space="0" w:color="auto"/>
              <w:bottom w:val="single" w:sz="6" w:space="0" w:color="auto"/>
              <w:right w:val="single" w:sz="6" w:space="0" w:color="auto"/>
            </w:tcBorders>
            <w:shd w:val="solid" w:color="FFFFFF" w:fill="auto"/>
            <w:vAlign w:val="center"/>
          </w:tcPr>
          <w:p w:rsidR="009F534E" w:rsidRDefault="00E64051">
            <w:pPr>
              <w:autoSpaceDE w:val="0"/>
              <w:autoSpaceDN w:val="0"/>
              <w:ind w:firstLineChars="0" w:firstLine="0"/>
              <w:jc w:val="center"/>
              <w:rPr>
                <w:rFonts w:ascii="宋体" w:hAnsi="宋体"/>
                <w:b/>
                <w:color w:val="000000"/>
                <w:sz w:val="22"/>
              </w:rPr>
            </w:pPr>
            <w:r>
              <w:rPr>
                <w:rFonts w:ascii="宋体" w:hAnsi="宋体" w:hint="eastAsia"/>
                <w:b/>
                <w:color w:val="000000"/>
                <w:sz w:val="22"/>
              </w:rPr>
              <w:t>高峰小时出行总量（人次）</w:t>
            </w:r>
          </w:p>
        </w:tc>
      </w:tr>
      <w:tr w:rsidR="009F534E">
        <w:trPr>
          <w:trHeight w:val="705"/>
        </w:trPr>
        <w:tc>
          <w:tcPr>
            <w:tcW w:w="1171" w:type="dxa"/>
            <w:tcBorders>
              <w:top w:val="single" w:sz="6" w:space="0" w:color="auto"/>
              <w:left w:val="single" w:sz="6" w:space="0" w:color="auto"/>
              <w:bottom w:val="single" w:sz="6" w:space="0" w:color="auto"/>
              <w:right w:val="single" w:sz="6" w:space="0" w:color="auto"/>
            </w:tcBorders>
            <w:vAlign w:val="center"/>
          </w:tcPr>
          <w:p w:rsidR="009F534E" w:rsidRDefault="00E64051">
            <w:pPr>
              <w:autoSpaceDN w:val="0"/>
              <w:ind w:firstLineChars="0" w:firstLine="0"/>
              <w:jc w:val="center"/>
              <w:textAlignment w:val="center"/>
              <w:rPr>
                <w:rFonts w:ascii="宋体" w:hAnsi="宋体"/>
                <w:color w:val="000000"/>
                <w:sz w:val="22"/>
              </w:rPr>
            </w:pPr>
            <w:r>
              <w:rPr>
                <w:rFonts w:ascii="宋体" w:hAnsi="宋体"/>
                <w:color w:val="000000"/>
                <w:sz w:val="22"/>
              </w:rPr>
              <w:lastRenderedPageBreak/>
              <w:t>B-30</w:t>
            </w:r>
          </w:p>
        </w:tc>
        <w:tc>
          <w:tcPr>
            <w:tcW w:w="1172" w:type="dxa"/>
            <w:tcBorders>
              <w:top w:val="single" w:sz="6" w:space="0" w:color="auto"/>
              <w:left w:val="single" w:sz="6" w:space="0" w:color="auto"/>
              <w:bottom w:val="single" w:sz="6" w:space="0" w:color="auto"/>
              <w:right w:val="single" w:sz="6" w:space="0" w:color="auto"/>
            </w:tcBorders>
            <w:vAlign w:val="center"/>
          </w:tcPr>
          <w:p w:rsidR="009F534E" w:rsidRDefault="00E64051">
            <w:pPr>
              <w:autoSpaceDN w:val="0"/>
              <w:ind w:firstLineChars="0" w:firstLine="0"/>
              <w:jc w:val="center"/>
              <w:textAlignment w:val="center"/>
              <w:rPr>
                <w:rFonts w:ascii="宋体" w:hAnsi="宋体"/>
                <w:color w:val="000000"/>
                <w:sz w:val="22"/>
              </w:rPr>
            </w:pPr>
            <w:r>
              <w:rPr>
                <w:rFonts w:ascii="宋体" w:hAnsi="宋体"/>
                <w:color w:val="000000"/>
                <w:sz w:val="22"/>
              </w:rPr>
              <w:t>居住建筑</w:t>
            </w:r>
          </w:p>
        </w:tc>
        <w:tc>
          <w:tcPr>
            <w:tcW w:w="1171" w:type="dxa"/>
            <w:tcBorders>
              <w:top w:val="single" w:sz="6" w:space="0" w:color="auto"/>
              <w:left w:val="single" w:sz="6" w:space="0" w:color="auto"/>
              <w:bottom w:val="single" w:sz="6" w:space="0" w:color="auto"/>
              <w:right w:val="single" w:sz="6" w:space="0" w:color="auto"/>
            </w:tcBorders>
            <w:vAlign w:val="center"/>
          </w:tcPr>
          <w:p w:rsidR="009F534E" w:rsidRDefault="00E64051">
            <w:pPr>
              <w:autoSpaceDN w:val="0"/>
              <w:ind w:firstLineChars="0" w:firstLine="0"/>
              <w:jc w:val="center"/>
              <w:textAlignment w:val="center"/>
              <w:rPr>
                <w:rFonts w:ascii="宋体" w:hAnsi="宋体"/>
                <w:color w:val="000000"/>
                <w:sz w:val="22"/>
              </w:rPr>
            </w:pPr>
            <w:r>
              <w:rPr>
                <w:rFonts w:ascii="宋体" w:hAnsi="宋体"/>
                <w:color w:val="000000"/>
                <w:sz w:val="22"/>
              </w:rPr>
              <w:t>居住户数</w:t>
            </w:r>
          </w:p>
        </w:tc>
        <w:tc>
          <w:tcPr>
            <w:tcW w:w="1172" w:type="dxa"/>
            <w:tcBorders>
              <w:top w:val="single" w:sz="6" w:space="0" w:color="auto"/>
              <w:left w:val="single" w:sz="6" w:space="0" w:color="auto"/>
              <w:bottom w:val="single" w:sz="6" w:space="0" w:color="auto"/>
              <w:right w:val="single" w:sz="6" w:space="0" w:color="auto"/>
            </w:tcBorders>
            <w:vAlign w:val="center"/>
          </w:tcPr>
          <w:p w:rsidR="009F534E" w:rsidRDefault="00E64051">
            <w:pPr>
              <w:autoSpaceDN w:val="0"/>
              <w:ind w:firstLineChars="0" w:firstLine="0"/>
              <w:jc w:val="center"/>
              <w:textAlignment w:val="center"/>
              <w:rPr>
                <w:rFonts w:ascii="宋体" w:hAnsi="宋体"/>
                <w:color w:val="000000"/>
                <w:sz w:val="22"/>
              </w:rPr>
            </w:pPr>
            <w:r>
              <w:rPr>
                <w:rFonts w:ascii="宋体" w:hAnsi="宋体"/>
                <w:color w:val="000000"/>
                <w:sz w:val="22"/>
              </w:rPr>
              <w:t>户</w:t>
            </w:r>
          </w:p>
        </w:tc>
        <w:tc>
          <w:tcPr>
            <w:tcW w:w="1171" w:type="dxa"/>
            <w:tcBorders>
              <w:top w:val="single" w:sz="6" w:space="0" w:color="auto"/>
              <w:left w:val="single" w:sz="6" w:space="0" w:color="auto"/>
              <w:bottom w:val="single" w:sz="6" w:space="0" w:color="auto"/>
              <w:right w:val="single" w:sz="6" w:space="0" w:color="auto"/>
            </w:tcBorders>
            <w:vAlign w:val="center"/>
          </w:tcPr>
          <w:p w:rsidR="009F534E" w:rsidRDefault="00E64051">
            <w:pPr>
              <w:autoSpaceDN w:val="0"/>
              <w:ind w:firstLineChars="0" w:firstLine="0"/>
              <w:jc w:val="center"/>
              <w:textAlignment w:val="center"/>
              <w:rPr>
                <w:rFonts w:ascii="宋体" w:hAnsi="宋体"/>
                <w:color w:val="000000"/>
                <w:sz w:val="22"/>
              </w:rPr>
            </w:pPr>
            <w:r>
              <w:rPr>
                <w:rFonts w:ascii="宋体" w:hAnsi="宋体"/>
                <w:color w:val="000000"/>
                <w:sz w:val="22"/>
              </w:rPr>
              <w:t>1347</w:t>
            </w:r>
          </w:p>
        </w:tc>
        <w:tc>
          <w:tcPr>
            <w:tcW w:w="1172" w:type="dxa"/>
            <w:tcBorders>
              <w:top w:val="single" w:sz="6" w:space="0" w:color="auto"/>
              <w:left w:val="single" w:sz="6" w:space="0" w:color="auto"/>
              <w:bottom w:val="single" w:sz="6" w:space="0" w:color="auto"/>
              <w:right w:val="single" w:sz="6" w:space="0" w:color="auto"/>
            </w:tcBorders>
            <w:vAlign w:val="center"/>
          </w:tcPr>
          <w:p w:rsidR="009F534E" w:rsidRDefault="00E64051">
            <w:pPr>
              <w:autoSpaceDN w:val="0"/>
              <w:ind w:firstLineChars="0" w:firstLine="0"/>
              <w:jc w:val="center"/>
              <w:textAlignment w:val="center"/>
              <w:rPr>
                <w:rFonts w:ascii="宋体" w:hAnsi="宋体"/>
                <w:color w:val="000000"/>
                <w:sz w:val="22"/>
              </w:rPr>
            </w:pPr>
            <w:r>
              <w:rPr>
                <w:rFonts w:ascii="宋体" w:hAnsi="宋体"/>
                <w:color w:val="000000"/>
                <w:sz w:val="22"/>
              </w:rPr>
              <w:t>0.8人次/户</w:t>
            </w:r>
          </w:p>
        </w:tc>
        <w:tc>
          <w:tcPr>
            <w:tcW w:w="1171" w:type="dxa"/>
            <w:tcBorders>
              <w:top w:val="single" w:sz="6" w:space="0" w:color="auto"/>
              <w:left w:val="single" w:sz="6" w:space="0" w:color="auto"/>
              <w:bottom w:val="single" w:sz="6" w:space="0" w:color="auto"/>
              <w:right w:val="single" w:sz="6" w:space="0" w:color="auto"/>
            </w:tcBorders>
            <w:vAlign w:val="center"/>
          </w:tcPr>
          <w:p w:rsidR="009F534E" w:rsidRDefault="00E64051">
            <w:pPr>
              <w:autoSpaceDN w:val="0"/>
              <w:ind w:firstLineChars="0" w:firstLine="0"/>
              <w:jc w:val="center"/>
              <w:textAlignment w:val="center"/>
              <w:rPr>
                <w:rFonts w:ascii="宋体" w:hAnsi="宋体"/>
                <w:color w:val="000000"/>
                <w:sz w:val="22"/>
              </w:rPr>
            </w:pPr>
            <w:r>
              <w:rPr>
                <w:rFonts w:ascii="宋体" w:hAnsi="宋体"/>
                <w:color w:val="000000"/>
                <w:sz w:val="22"/>
              </w:rPr>
              <w:t>1078</w:t>
            </w:r>
          </w:p>
        </w:tc>
      </w:tr>
      <w:tr w:rsidR="009F534E">
        <w:trPr>
          <w:trHeight w:val="377"/>
        </w:trPr>
        <w:tc>
          <w:tcPr>
            <w:tcW w:w="1171" w:type="dxa"/>
            <w:tcBorders>
              <w:top w:val="single" w:sz="6" w:space="0" w:color="auto"/>
              <w:left w:val="single" w:sz="6" w:space="0" w:color="auto"/>
              <w:bottom w:val="single" w:sz="6" w:space="0" w:color="auto"/>
              <w:right w:val="single" w:sz="6" w:space="0" w:color="auto"/>
            </w:tcBorders>
            <w:vAlign w:val="center"/>
          </w:tcPr>
          <w:p w:rsidR="009F534E" w:rsidRDefault="00E64051">
            <w:pPr>
              <w:autoSpaceDN w:val="0"/>
              <w:ind w:firstLineChars="0" w:firstLine="0"/>
              <w:jc w:val="center"/>
              <w:textAlignment w:val="center"/>
              <w:rPr>
                <w:rFonts w:ascii="宋体" w:hAnsi="宋体"/>
                <w:color w:val="000000"/>
                <w:sz w:val="22"/>
              </w:rPr>
            </w:pPr>
            <w:r>
              <w:rPr>
                <w:rFonts w:ascii="宋体" w:hAnsi="宋体"/>
                <w:color w:val="000000"/>
                <w:sz w:val="22"/>
              </w:rPr>
              <w:t>合计</w:t>
            </w:r>
          </w:p>
        </w:tc>
        <w:tc>
          <w:tcPr>
            <w:tcW w:w="5858" w:type="dxa"/>
            <w:gridSpan w:val="5"/>
            <w:tcBorders>
              <w:top w:val="single" w:sz="6" w:space="0" w:color="auto"/>
              <w:left w:val="single" w:sz="6" w:space="0" w:color="auto"/>
              <w:bottom w:val="single" w:sz="6" w:space="0" w:color="auto"/>
            </w:tcBorders>
            <w:vAlign w:val="center"/>
          </w:tcPr>
          <w:p w:rsidR="009F534E" w:rsidRDefault="009F534E">
            <w:pPr>
              <w:autoSpaceDN w:val="0"/>
              <w:ind w:firstLineChars="0" w:firstLine="0"/>
              <w:jc w:val="center"/>
              <w:textAlignment w:val="center"/>
              <w:rPr>
                <w:rFonts w:ascii="宋体" w:hAnsi="宋体"/>
                <w:color w:val="000000"/>
                <w:sz w:val="22"/>
              </w:rPr>
            </w:pPr>
          </w:p>
        </w:tc>
        <w:tc>
          <w:tcPr>
            <w:tcW w:w="1171" w:type="dxa"/>
            <w:tcBorders>
              <w:top w:val="single" w:sz="6" w:space="0" w:color="auto"/>
              <w:left w:val="single" w:sz="6" w:space="0" w:color="auto"/>
              <w:bottom w:val="single" w:sz="6" w:space="0" w:color="auto"/>
              <w:right w:val="single" w:sz="6" w:space="0" w:color="auto"/>
            </w:tcBorders>
            <w:vAlign w:val="center"/>
          </w:tcPr>
          <w:p w:rsidR="009F534E" w:rsidRDefault="00E64051">
            <w:pPr>
              <w:autoSpaceDN w:val="0"/>
              <w:ind w:firstLineChars="0" w:firstLine="0"/>
              <w:jc w:val="center"/>
              <w:textAlignment w:val="center"/>
              <w:rPr>
                <w:rFonts w:ascii="宋体" w:hAnsi="宋体"/>
                <w:color w:val="000000"/>
                <w:sz w:val="22"/>
              </w:rPr>
            </w:pPr>
            <w:r>
              <w:rPr>
                <w:rFonts w:ascii="宋体" w:hAnsi="宋体"/>
                <w:color w:val="000000"/>
                <w:sz w:val="22"/>
              </w:rPr>
              <w:t>1078</w:t>
            </w:r>
          </w:p>
        </w:tc>
      </w:tr>
    </w:tbl>
    <w:p w:rsidR="009F534E" w:rsidRDefault="00E64051" w:rsidP="006C6AAE">
      <w:pPr>
        <w:pStyle w:val="a5"/>
        <w:spacing w:before="156" w:after="156"/>
        <w:ind w:firstLine="560"/>
      </w:pPr>
      <w:r>
        <w:rPr>
          <w:rFonts w:hint="eastAsia"/>
        </w:rPr>
        <w:t>参考《长治市城市综合交通规划》中，</w:t>
      </w:r>
      <w:r>
        <w:rPr>
          <w:rFonts w:hint="eastAsia"/>
        </w:rPr>
        <w:t>2015</w:t>
      </w:r>
      <w:r>
        <w:rPr>
          <w:rFonts w:hint="eastAsia"/>
        </w:rPr>
        <w:t>年早高峰预测结果中，小汽车早高峰出行比例最高值为</w:t>
      </w:r>
      <w:r>
        <w:rPr>
          <w:rFonts w:hint="eastAsia"/>
        </w:rPr>
        <w:t>16.8%</w:t>
      </w:r>
      <w:r>
        <w:rPr>
          <w:rFonts w:hint="eastAsia"/>
        </w:rPr>
        <w:t>，规划沁源县小汽车早高峰出行比例最高值取</w:t>
      </w:r>
      <w:r>
        <w:rPr>
          <w:rFonts w:hint="eastAsia"/>
        </w:rPr>
        <w:t>15%</w:t>
      </w:r>
      <w:r>
        <w:rPr>
          <w:rFonts w:hint="eastAsia"/>
        </w:rPr>
        <w:t>，按</w:t>
      </w:r>
      <w:r>
        <w:rPr>
          <w:rFonts w:hint="eastAsia"/>
        </w:rPr>
        <w:t>2.2</w:t>
      </w:r>
      <w:r>
        <w:rPr>
          <w:rFonts w:hint="eastAsia"/>
        </w:rPr>
        <w:t>人</w:t>
      </w:r>
      <w:r>
        <w:rPr>
          <w:rFonts w:hint="eastAsia"/>
        </w:rPr>
        <w:t>/</w:t>
      </w:r>
      <w:r>
        <w:rPr>
          <w:rFonts w:hint="eastAsia"/>
        </w:rPr>
        <w:t>辆车计算，则高峰小时小汽车生成量见下表：</w:t>
      </w:r>
    </w:p>
    <w:tbl>
      <w:tblPr>
        <w:tblW w:w="8625" w:type="dxa"/>
        <w:tblLayout w:type="fixed"/>
        <w:tblCellMar>
          <w:top w:w="15" w:type="dxa"/>
          <w:left w:w="15" w:type="dxa"/>
          <w:bottom w:w="15" w:type="dxa"/>
          <w:right w:w="15" w:type="dxa"/>
        </w:tblCellMar>
        <w:tblLook w:val="04A0" w:firstRow="1" w:lastRow="0" w:firstColumn="1" w:lastColumn="0" w:noHBand="0" w:noVBand="1"/>
      </w:tblPr>
      <w:tblGrid>
        <w:gridCol w:w="1189"/>
        <w:gridCol w:w="2366"/>
        <w:gridCol w:w="1586"/>
        <w:gridCol w:w="2027"/>
        <w:gridCol w:w="1457"/>
      </w:tblGrid>
      <w:tr w:rsidR="009F534E">
        <w:trPr>
          <w:trHeight w:val="540"/>
        </w:trPr>
        <w:tc>
          <w:tcPr>
            <w:tcW w:w="118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F534E" w:rsidRDefault="00E64051">
            <w:pPr>
              <w:widowControl/>
              <w:ind w:firstLineChars="0" w:firstLine="0"/>
              <w:jc w:val="center"/>
              <w:textAlignment w:val="center"/>
              <w:rPr>
                <w:rFonts w:ascii="宋体" w:hAnsi="宋体" w:cs="宋体"/>
                <w:b/>
                <w:color w:val="000000"/>
                <w:sz w:val="22"/>
              </w:rPr>
            </w:pPr>
            <w:r>
              <w:rPr>
                <w:rFonts w:ascii="宋体" w:hAnsi="宋体" w:cs="宋体" w:hint="eastAsia"/>
                <w:b/>
                <w:color w:val="000000"/>
                <w:kern w:val="0"/>
                <w:sz w:val="22"/>
              </w:rPr>
              <w:t>街坊</w:t>
            </w:r>
          </w:p>
        </w:tc>
        <w:tc>
          <w:tcPr>
            <w:tcW w:w="23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F534E" w:rsidRDefault="00E64051">
            <w:pPr>
              <w:widowControl/>
              <w:ind w:firstLineChars="0" w:firstLine="0"/>
              <w:jc w:val="center"/>
              <w:textAlignment w:val="center"/>
              <w:rPr>
                <w:rFonts w:ascii="宋体" w:hAnsi="宋体" w:cs="宋体"/>
                <w:b/>
                <w:color w:val="000000"/>
                <w:sz w:val="22"/>
              </w:rPr>
            </w:pPr>
            <w:r>
              <w:rPr>
                <w:rFonts w:ascii="宋体" w:hAnsi="宋体" w:cs="宋体" w:hint="eastAsia"/>
                <w:b/>
                <w:color w:val="000000"/>
                <w:kern w:val="0"/>
                <w:sz w:val="22"/>
              </w:rPr>
              <w:t>高峰小时出行总量（人次）</w:t>
            </w:r>
          </w:p>
        </w:tc>
        <w:tc>
          <w:tcPr>
            <w:tcW w:w="15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F534E" w:rsidRDefault="00E64051">
            <w:pPr>
              <w:widowControl/>
              <w:ind w:firstLineChars="0" w:firstLine="0"/>
              <w:jc w:val="center"/>
              <w:textAlignment w:val="center"/>
              <w:rPr>
                <w:rFonts w:ascii="宋体" w:hAnsi="宋体" w:cs="宋体"/>
                <w:b/>
                <w:color w:val="000000"/>
                <w:sz w:val="22"/>
              </w:rPr>
            </w:pPr>
            <w:r>
              <w:rPr>
                <w:rFonts w:ascii="宋体" w:hAnsi="宋体" w:cs="宋体" w:hint="eastAsia"/>
                <w:b/>
                <w:color w:val="000000"/>
                <w:kern w:val="0"/>
                <w:sz w:val="22"/>
              </w:rPr>
              <w:t>乘坐小汽车早高峰出行量（按总量的15%计）</w:t>
            </w:r>
          </w:p>
        </w:tc>
        <w:tc>
          <w:tcPr>
            <w:tcW w:w="20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F534E" w:rsidRDefault="00E64051" w:rsidP="006C6AAE">
            <w:pPr>
              <w:widowControl/>
              <w:ind w:firstLine="442"/>
              <w:jc w:val="center"/>
              <w:textAlignment w:val="center"/>
              <w:rPr>
                <w:rFonts w:ascii="宋体" w:hAnsi="宋体" w:cs="宋体"/>
                <w:b/>
                <w:color w:val="000000"/>
                <w:sz w:val="22"/>
              </w:rPr>
            </w:pPr>
            <w:r>
              <w:rPr>
                <w:rFonts w:ascii="宋体" w:hAnsi="宋体" w:cs="宋体" w:hint="eastAsia"/>
                <w:b/>
                <w:color w:val="000000"/>
                <w:kern w:val="0"/>
                <w:sz w:val="22"/>
              </w:rPr>
              <w:t>参考</w:t>
            </w:r>
            <w:proofErr w:type="gramStart"/>
            <w:r>
              <w:rPr>
                <w:rFonts w:ascii="宋体" w:hAnsi="宋体" w:cs="宋体" w:hint="eastAsia"/>
                <w:b/>
                <w:color w:val="000000"/>
                <w:kern w:val="0"/>
                <w:sz w:val="22"/>
              </w:rPr>
              <w:t>值标准</w:t>
            </w:r>
            <w:proofErr w:type="gramEnd"/>
          </w:p>
        </w:tc>
        <w:tc>
          <w:tcPr>
            <w:tcW w:w="1457" w:type="dxa"/>
            <w:tcBorders>
              <w:top w:val="single" w:sz="4" w:space="0" w:color="000000"/>
              <w:left w:val="single" w:sz="4" w:space="0" w:color="000000"/>
              <w:bottom w:val="single" w:sz="4" w:space="0" w:color="000000"/>
              <w:right w:val="single" w:sz="4" w:space="0" w:color="000000"/>
            </w:tcBorders>
            <w:vAlign w:val="center"/>
          </w:tcPr>
          <w:p w:rsidR="009F534E" w:rsidRDefault="00E64051">
            <w:pPr>
              <w:widowControl/>
              <w:ind w:firstLineChars="0" w:firstLine="0"/>
              <w:jc w:val="center"/>
              <w:textAlignment w:val="center"/>
              <w:rPr>
                <w:rFonts w:ascii="宋体" w:hAnsi="宋体" w:cs="宋体"/>
                <w:b/>
                <w:color w:val="000000"/>
                <w:sz w:val="22"/>
              </w:rPr>
            </w:pPr>
            <w:r>
              <w:rPr>
                <w:rFonts w:ascii="宋体" w:hAnsi="宋体" w:cs="宋体" w:hint="eastAsia"/>
                <w:b/>
                <w:color w:val="000000"/>
                <w:kern w:val="0"/>
                <w:sz w:val="22"/>
              </w:rPr>
              <w:t>小汽车出行总量</w:t>
            </w:r>
          </w:p>
        </w:tc>
      </w:tr>
      <w:tr w:rsidR="009F534E">
        <w:trPr>
          <w:trHeight w:val="495"/>
        </w:trPr>
        <w:tc>
          <w:tcPr>
            <w:tcW w:w="1189" w:type="dxa"/>
            <w:tcBorders>
              <w:top w:val="single" w:sz="4" w:space="0" w:color="000000"/>
              <w:left w:val="single" w:sz="4" w:space="0" w:color="000000"/>
              <w:bottom w:val="single" w:sz="4" w:space="0" w:color="000000"/>
              <w:right w:val="single" w:sz="4" w:space="0" w:color="000000"/>
            </w:tcBorders>
            <w:vAlign w:val="center"/>
          </w:tcPr>
          <w:p w:rsidR="009F534E" w:rsidRDefault="00E64051" w:rsidP="006C6AAE">
            <w:pPr>
              <w:autoSpaceDN w:val="0"/>
              <w:ind w:firstLine="440"/>
              <w:jc w:val="center"/>
              <w:textAlignment w:val="center"/>
              <w:rPr>
                <w:rFonts w:ascii="宋体" w:hAnsi="宋体" w:cs="宋体"/>
                <w:color w:val="000000"/>
                <w:kern w:val="0"/>
                <w:sz w:val="21"/>
                <w:szCs w:val="21"/>
              </w:rPr>
            </w:pPr>
            <w:r>
              <w:rPr>
                <w:rFonts w:ascii="宋体" w:hAnsi="宋体"/>
                <w:color w:val="000000"/>
                <w:sz w:val="22"/>
              </w:rPr>
              <w:t>B-30</w:t>
            </w:r>
          </w:p>
        </w:tc>
        <w:tc>
          <w:tcPr>
            <w:tcW w:w="2366" w:type="dxa"/>
            <w:tcBorders>
              <w:top w:val="single" w:sz="4" w:space="0" w:color="000000"/>
              <w:left w:val="single" w:sz="4" w:space="0" w:color="000000"/>
              <w:bottom w:val="single" w:sz="4" w:space="0" w:color="000000"/>
              <w:right w:val="single" w:sz="4" w:space="0" w:color="000000"/>
            </w:tcBorders>
            <w:vAlign w:val="center"/>
          </w:tcPr>
          <w:p w:rsidR="009F534E" w:rsidRDefault="00E64051" w:rsidP="006C6AAE">
            <w:pPr>
              <w:autoSpaceDN w:val="0"/>
              <w:ind w:firstLine="440"/>
              <w:jc w:val="center"/>
              <w:textAlignment w:val="center"/>
              <w:rPr>
                <w:rFonts w:ascii="宋体" w:hAnsi="宋体" w:cs="宋体"/>
                <w:color w:val="000000"/>
                <w:kern w:val="0"/>
                <w:sz w:val="21"/>
                <w:szCs w:val="21"/>
              </w:rPr>
            </w:pPr>
            <w:r>
              <w:rPr>
                <w:rFonts w:ascii="宋体" w:hAnsi="宋体"/>
                <w:color w:val="000000"/>
                <w:sz w:val="22"/>
              </w:rPr>
              <w:t>1078</w:t>
            </w:r>
          </w:p>
        </w:tc>
        <w:tc>
          <w:tcPr>
            <w:tcW w:w="1586" w:type="dxa"/>
            <w:tcBorders>
              <w:top w:val="single" w:sz="4" w:space="0" w:color="000000"/>
              <w:left w:val="single" w:sz="4" w:space="0" w:color="000000"/>
              <w:bottom w:val="single" w:sz="4" w:space="0" w:color="000000"/>
              <w:right w:val="single" w:sz="4" w:space="0" w:color="000000"/>
            </w:tcBorders>
            <w:vAlign w:val="center"/>
          </w:tcPr>
          <w:p w:rsidR="009F534E" w:rsidRDefault="00E64051" w:rsidP="006C6AAE">
            <w:pPr>
              <w:autoSpaceDN w:val="0"/>
              <w:ind w:firstLine="420"/>
              <w:jc w:val="center"/>
              <w:textAlignment w:val="center"/>
              <w:rPr>
                <w:rFonts w:ascii="宋体" w:hAnsi="宋体" w:cs="宋体"/>
                <w:color w:val="000000"/>
                <w:kern w:val="0"/>
                <w:sz w:val="21"/>
                <w:szCs w:val="21"/>
              </w:rPr>
            </w:pPr>
            <w:r>
              <w:rPr>
                <w:rFonts w:ascii="宋体" w:hAnsi="宋体"/>
                <w:color w:val="000000"/>
                <w:sz w:val="21"/>
              </w:rPr>
              <w:t xml:space="preserve">162 </w:t>
            </w:r>
          </w:p>
        </w:tc>
        <w:tc>
          <w:tcPr>
            <w:tcW w:w="2027" w:type="dxa"/>
            <w:tcBorders>
              <w:top w:val="single" w:sz="4" w:space="0" w:color="000000"/>
              <w:left w:val="single" w:sz="4" w:space="0" w:color="000000"/>
              <w:bottom w:val="single" w:sz="4" w:space="0" w:color="000000"/>
              <w:right w:val="single" w:sz="4" w:space="0" w:color="000000"/>
            </w:tcBorders>
            <w:vAlign w:val="center"/>
          </w:tcPr>
          <w:p w:rsidR="009F534E" w:rsidRDefault="00E64051" w:rsidP="006C6AAE">
            <w:pPr>
              <w:autoSpaceDN w:val="0"/>
              <w:ind w:firstLine="420"/>
              <w:jc w:val="center"/>
              <w:textAlignment w:val="center"/>
              <w:rPr>
                <w:rFonts w:ascii="宋体" w:hAnsi="宋体" w:cs="宋体"/>
                <w:color w:val="000000"/>
                <w:kern w:val="0"/>
                <w:sz w:val="21"/>
                <w:szCs w:val="21"/>
              </w:rPr>
            </w:pPr>
            <w:r>
              <w:rPr>
                <w:rFonts w:ascii="宋体" w:hAnsi="宋体"/>
                <w:color w:val="000000"/>
                <w:sz w:val="21"/>
              </w:rPr>
              <w:t>按2.2人/辆车计算</w:t>
            </w:r>
          </w:p>
        </w:tc>
        <w:tc>
          <w:tcPr>
            <w:tcW w:w="1457" w:type="dxa"/>
            <w:tcBorders>
              <w:top w:val="single" w:sz="4" w:space="0" w:color="000000"/>
              <w:left w:val="single" w:sz="4" w:space="0" w:color="000000"/>
              <w:bottom w:val="single" w:sz="4" w:space="0" w:color="000000"/>
              <w:right w:val="single" w:sz="4" w:space="0" w:color="000000"/>
            </w:tcBorders>
            <w:vAlign w:val="center"/>
          </w:tcPr>
          <w:p w:rsidR="009F534E" w:rsidRDefault="00E64051" w:rsidP="006C6AAE">
            <w:pPr>
              <w:autoSpaceDN w:val="0"/>
              <w:ind w:firstLine="420"/>
              <w:jc w:val="center"/>
              <w:textAlignment w:val="center"/>
              <w:rPr>
                <w:rFonts w:ascii="宋体" w:hAnsi="宋体" w:cs="宋体"/>
                <w:color w:val="000000"/>
                <w:kern w:val="0"/>
                <w:sz w:val="21"/>
                <w:szCs w:val="21"/>
              </w:rPr>
            </w:pPr>
            <w:r>
              <w:rPr>
                <w:rFonts w:ascii="宋体" w:hAnsi="宋体"/>
                <w:color w:val="000000"/>
                <w:sz w:val="21"/>
              </w:rPr>
              <w:t xml:space="preserve">74 </w:t>
            </w:r>
          </w:p>
        </w:tc>
      </w:tr>
    </w:tbl>
    <w:p w:rsidR="009F534E" w:rsidRDefault="00E64051">
      <w:pPr>
        <w:pStyle w:val="a5"/>
        <w:spacing w:before="156" w:after="156"/>
        <w:ind w:firstLine="560"/>
      </w:pPr>
      <w:r>
        <w:rPr>
          <w:rFonts w:hint="eastAsia"/>
        </w:rPr>
        <w:t>道路系统容量估算：</w:t>
      </w:r>
    </w:p>
    <w:p w:rsidR="009F534E" w:rsidRDefault="00E64051">
      <w:pPr>
        <w:pStyle w:val="a5"/>
        <w:spacing w:before="156" w:after="156"/>
        <w:ind w:firstLine="560"/>
      </w:pPr>
      <w:r>
        <w:rPr>
          <w:rFonts w:hint="eastAsia"/>
        </w:rPr>
        <w:t>高峰小时可容纳汽车出行总数</w:t>
      </w:r>
      <w:r>
        <w:rPr>
          <w:rFonts w:hint="eastAsia"/>
        </w:rPr>
        <w:t>W</w:t>
      </w:r>
      <w:r>
        <w:rPr>
          <w:rFonts w:hint="eastAsia"/>
          <w:vertAlign w:val="subscript"/>
        </w:rPr>
        <w:t>1</w:t>
      </w:r>
      <w:r>
        <w:rPr>
          <w:rFonts w:hint="eastAsia"/>
        </w:rPr>
        <w:t>（辆）为：</w:t>
      </w:r>
      <w:r>
        <w:rPr>
          <w:rFonts w:hint="eastAsia"/>
        </w:rPr>
        <w:t>W</w:t>
      </w:r>
      <w:r>
        <w:rPr>
          <w:rFonts w:hint="eastAsia"/>
          <w:vertAlign w:val="subscript"/>
        </w:rPr>
        <w:t>1</w:t>
      </w:r>
      <w:r>
        <w:rPr>
          <w:rFonts w:hint="eastAsia"/>
        </w:rPr>
        <w:t>=F</w:t>
      </w:r>
      <w:r>
        <w:rPr>
          <w:rFonts w:hint="eastAsia"/>
          <w:vertAlign w:val="subscript"/>
        </w:rPr>
        <w:t>2</w:t>
      </w:r>
      <w:r>
        <w:rPr>
          <w:rFonts w:hint="eastAsia"/>
        </w:rPr>
        <w:t>/( F</w:t>
      </w:r>
      <w:r>
        <w:rPr>
          <w:rFonts w:hint="eastAsia"/>
          <w:vertAlign w:val="subscript"/>
        </w:rPr>
        <w:t>1</w:t>
      </w:r>
      <w:r>
        <w:rPr>
          <w:rFonts w:hint="eastAsia"/>
        </w:rPr>
        <w:t>γ</w:t>
      </w:r>
      <w:r>
        <w:rPr>
          <w:rFonts w:hint="eastAsia"/>
          <w:vertAlign w:val="subscript"/>
        </w:rPr>
        <w:t>1</w:t>
      </w:r>
      <w:r>
        <w:rPr>
          <w:rFonts w:hint="eastAsia"/>
        </w:rPr>
        <w:t>)</w:t>
      </w:r>
      <w:r>
        <w:rPr>
          <w:rFonts w:hint="eastAsia"/>
        </w:rPr>
        <w:t>，</w:t>
      </w:r>
    </w:p>
    <w:p w:rsidR="009F534E" w:rsidRDefault="00E64051">
      <w:pPr>
        <w:pStyle w:val="a5"/>
        <w:spacing w:before="156" w:after="156"/>
        <w:ind w:firstLine="560"/>
      </w:pPr>
      <w:r>
        <w:rPr>
          <w:rFonts w:hint="eastAsia"/>
        </w:rPr>
        <w:t>式中：</w:t>
      </w:r>
      <w:r>
        <w:rPr>
          <w:rFonts w:hint="eastAsia"/>
        </w:rPr>
        <w:t>F</w:t>
      </w:r>
      <w:r>
        <w:rPr>
          <w:rFonts w:hint="eastAsia"/>
          <w:vertAlign w:val="subscript"/>
        </w:rPr>
        <w:t>2</w:t>
      </w:r>
      <w:r>
        <w:rPr>
          <w:rFonts w:hint="eastAsia"/>
        </w:rPr>
        <w:t>——车行道路总面积，</w:t>
      </w:r>
      <w:r>
        <w:rPr>
          <w:color w:val="000000"/>
          <w:kern w:val="0"/>
        </w:rPr>
        <w:t>㎡</w:t>
      </w:r>
      <w:r>
        <w:rPr>
          <w:rFonts w:hint="eastAsia"/>
        </w:rPr>
        <w:t>；</w:t>
      </w:r>
    </w:p>
    <w:p w:rsidR="009F534E" w:rsidRDefault="00E64051">
      <w:pPr>
        <w:pStyle w:val="a5"/>
        <w:spacing w:before="156" w:after="156"/>
        <w:ind w:firstLine="560"/>
      </w:pPr>
      <w:r>
        <w:rPr>
          <w:rFonts w:hint="eastAsia"/>
        </w:rPr>
        <w:t>F</w:t>
      </w:r>
      <w:r>
        <w:rPr>
          <w:rFonts w:hint="eastAsia"/>
          <w:vertAlign w:val="subscript"/>
        </w:rPr>
        <w:t>1</w:t>
      </w:r>
      <w:r>
        <w:rPr>
          <w:rFonts w:hint="eastAsia"/>
        </w:rPr>
        <w:t>——汽车每次出行占用车行道面积，</w:t>
      </w:r>
      <w:r>
        <w:rPr>
          <w:color w:val="000000"/>
          <w:kern w:val="0"/>
        </w:rPr>
        <w:t>㎡</w:t>
      </w:r>
      <w:r>
        <w:rPr>
          <w:rFonts w:hint="eastAsia"/>
        </w:rPr>
        <w:t>/</w:t>
      </w:r>
      <w:r>
        <w:rPr>
          <w:rFonts w:hint="eastAsia"/>
        </w:rPr>
        <w:t>次，可查得；</w:t>
      </w:r>
    </w:p>
    <w:p w:rsidR="009F534E" w:rsidRDefault="00E64051">
      <w:pPr>
        <w:pStyle w:val="a5"/>
        <w:spacing w:before="156" w:after="156"/>
        <w:ind w:firstLine="560"/>
      </w:pPr>
      <w:r>
        <w:rPr>
          <w:rFonts w:hint="eastAsia"/>
        </w:rPr>
        <w:t>γ</w:t>
      </w:r>
      <w:r>
        <w:rPr>
          <w:rFonts w:hint="eastAsia"/>
          <w:vertAlign w:val="subscript"/>
        </w:rPr>
        <w:t>1</w:t>
      </w:r>
      <w:r>
        <w:rPr>
          <w:rFonts w:hint="eastAsia"/>
        </w:rPr>
        <w:t>——高峰小时汽车出车率。</w:t>
      </w:r>
    </w:p>
    <w:p w:rsidR="009F534E" w:rsidRDefault="00E64051">
      <w:pPr>
        <w:pStyle w:val="a5"/>
        <w:spacing w:before="156" w:after="156"/>
        <w:ind w:firstLine="560"/>
      </w:pPr>
      <w:r>
        <w:rPr>
          <w:rFonts w:hint="eastAsia"/>
        </w:rPr>
        <w:t>依据《长治市城市综合交通规划》中，得出长治市小汽车平均出行距离</w:t>
      </w:r>
      <w:r>
        <w:rPr>
          <w:rFonts w:hint="eastAsia"/>
        </w:rPr>
        <w:t>2.9Km</w:t>
      </w:r>
      <w:r>
        <w:rPr>
          <w:rFonts w:hint="eastAsia"/>
        </w:rPr>
        <w:t>，平均车速为</w:t>
      </w:r>
      <w:r>
        <w:rPr>
          <w:rFonts w:hint="eastAsia"/>
        </w:rPr>
        <w:t>25 Km/h</w:t>
      </w:r>
      <w:r>
        <w:rPr>
          <w:rFonts w:hint="eastAsia"/>
        </w:rPr>
        <w:t>，查得</w:t>
      </w:r>
      <w:r>
        <w:rPr>
          <w:rFonts w:hint="eastAsia"/>
        </w:rPr>
        <w:t>F</w:t>
      </w:r>
      <w:r>
        <w:rPr>
          <w:rFonts w:hint="eastAsia"/>
          <w:vertAlign w:val="subscript"/>
        </w:rPr>
        <w:t>1</w:t>
      </w:r>
      <w:r>
        <w:rPr>
          <w:rFonts w:hint="eastAsia"/>
        </w:rPr>
        <w:t>=35</w:t>
      </w:r>
      <w:r>
        <w:rPr>
          <w:color w:val="000000"/>
          <w:kern w:val="0"/>
        </w:rPr>
        <w:t xml:space="preserve"> </w:t>
      </w:r>
      <w:r>
        <w:rPr>
          <w:color w:val="000000"/>
          <w:kern w:val="0"/>
        </w:rPr>
        <w:t>㎡</w:t>
      </w:r>
      <w:r>
        <w:rPr>
          <w:rFonts w:hint="eastAsia"/>
        </w:rPr>
        <w:t>/</w:t>
      </w:r>
      <w:r>
        <w:rPr>
          <w:rFonts w:hint="eastAsia"/>
        </w:rPr>
        <w:t>次</w:t>
      </w:r>
      <w:r>
        <w:rPr>
          <w:rFonts w:hint="eastAsia"/>
        </w:rPr>
        <w:t>,</w:t>
      </w:r>
      <w:r>
        <w:rPr>
          <w:rFonts w:hint="eastAsia"/>
        </w:rPr>
        <w:t>高峰小时汽车出车率取</w:t>
      </w:r>
      <w:r>
        <w:rPr>
          <w:rFonts w:hint="eastAsia"/>
        </w:rPr>
        <w:t>0.8</w:t>
      </w:r>
      <w:r>
        <w:rPr>
          <w:rFonts w:hint="eastAsia"/>
        </w:rPr>
        <w:t>，得出本次调整范围内车行道高峰小时容量</w:t>
      </w:r>
      <w:proofErr w:type="gramStart"/>
      <w:r>
        <w:rPr>
          <w:rFonts w:hint="eastAsia"/>
        </w:rPr>
        <w:t>估算值见下表</w:t>
      </w:r>
      <w:proofErr w:type="gramEnd"/>
      <w:r>
        <w:rPr>
          <w:rFonts w:hint="eastAsia"/>
        </w:rPr>
        <w:t>：</w:t>
      </w:r>
    </w:p>
    <w:tbl>
      <w:tblPr>
        <w:tblW w:w="8320" w:type="dxa"/>
        <w:jc w:val="center"/>
        <w:tblInd w:w="-92" w:type="dxa"/>
        <w:tblLayout w:type="fixed"/>
        <w:tblCellMar>
          <w:top w:w="15" w:type="dxa"/>
          <w:left w:w="15" w:type="dxa"/>
          <w:bottom w:w="15" w:type="dxa"/>
          <w:right w:w="15" w:type="dxa"/>
        </w:tblCellMar>
        <w:tblLook w:val="04A0" w:firstRow="1" w:lastRow="0" w:firstColumn="1" w:lastColumn="0" w:noHBand="0" w:noVBand="1"/>
      </w:tblPr>
      <w:tblGrid>
        <w:gridCol w:w="1611"/>
        <w:gridCol w:w="1606"/>
        <w:gridCol w:w="1309"/>
        <w:gridCol w:w="2153"/>
        <w:gridCol w:w="1641"/>
      </w:tblGrid>
      <w:tr w:rsidR="009F534E">
        <w:trPr>
          <w:trHeight w:val="1048"/>
          <w:jc w:val="center"/>
        </w:trPr>
        <w:tc>
          <w:tcPr>
            <w:tcW w:w="161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F534E" w:rsidRDefault="00E64051">
            <w:pPr>
              <w:widowControl/>
              <w:ind w:firstLineChars="0" w:firstLine="0"/>
              <w:jc w:val="center"/>
              <w:textAlignment w:val="center"/>
              <w:rPr>
                <w:rFonts w:ascii="宋体" w:hAnsi="宋体" w:cs="宋体"/>
                <w:b/>
                <w:color w:val="000000"/>
                <w:sz w:val="22"/>
              </w:rPr>
            </w:pPr>
            <w:r>
              <w:rPr>
                <w:rFonts w:ascii="宋体" w:hAnsi="宋体" w:cs="宋体" w:hint="eastAsia"/>
                <w:b/>
                <w:color w:val="000000"/>
                <w:kern w:val="0"/>
                <w:sz w:val="22"/>
              </w:rPr>
              <w:t>街坊</w:t>
            </w:r>
          </w:p>
        </w:tc>
        <w:tc>
          <w:tcPr>
            <w:tcW w:w="160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F534E" w:rsidRDefault="00E64051">
            <w:pPr>
              <w:widowControl/>
              <w:ind w:firstLineChars="0" w:firstLine="0"/>
              <w:jc w:val="center"/>
              <w:textAlignment w:val="center"/>
              <w:rPr>
                <w:rFonts w:ascii="宋体" w:hAnsi="宋体" w:cs="宋体"/>
                <w:b/>
                <w:color w:val="000000"/>
                <w:sz w:val="22"/>
              </w:rPr>
            </w:pPr>
            <w:r>
              <w:rPr>
                <w:rFonts w:ascii="宋体" w:hAnsi="宋体" w:cs="宋体" w:hint="eastAsia"/>
                <w:b/>
                <w:color w:val="000000"/>
                <w:kern w:val="0"/>
                <w:sz w:val="22"/>
              </w:rPr>
              <w:t>周边道路面积（㎡）</w:t>
            </w:r>
          </w:p>
        </w:tc>
        <w:tc>
          <w:tcPr>
            <w:tcW w:w="1309" w:type="dxa"/>
            <w:tcBorders>
              <w:top w:val="single" w:sz="4" w:space="0" w:color="000000"/>
              <w:left w:val="single" w:sz="4" w:space="0" w:color="000000"/>
              <w:bottom w:val="single" w:sz="4" w:space="0" w:color="000000"/>
              <w:right w:val="single" w:sz="4" w:space="0" w:color="000000"/>
            </w:tcBorders>
            <w:vAlign w:val="center"/>
          </w:tcPr>
          <w:p w:rsidR="009F534E" w:rsidRDefault="00E64051">
            <w:pPr>
              <w:widowControl/>
              <w:ind w:firstLineChars="0" w:firstLine="0"/>
              <w:jc w:val="center"/>
              <w:textAlignment w:val="center"/>
              <w:rPr>
                <w:rFonts w:ascii="宋体" w:hAnsi="宋体" w:cs="宋体"/>
                <w:b/>
                <w:color w:val="000000"/>
                <w:sz w:val="22"/>
              </w:rPr>
            </w:pPr>
            <w:r>
              <w:rPr>
                <w:rFonts w:ascii="宋体" w:hAnsi="宋体" w:cs="宋体" w:hint="eastAsia"/>
                <w:b/>
                <w:color w:val="000000"/>
                <w:kern w:val="0"/>
                <w:sz w:val="22"/>
              </w:rPr>
              <w:t>汽车每次出行占用车行道面积（㎡）</w:t>
            </w:r>
          </w:p>
        </w:tc>
        <w:tc>
          <w:tcPr>
            <w:tcW w:w="2153" w:type="dxa"/>
            <w:tcBorders>
              <w:top w:val="single" w:sz="4" w:space="0" w:color="000000"/>
              <w:left w:val="single" w:sz="4" w:space="0" w:color="000000"/>
              <w:bottom w:val="single" w:sz="4" w:space="0" w:color="000000"/>
              <w:right w:val="single" w:sz="4" w:space="0" w:color="000000"/>
            </w:tcBorders>
            <w:vAlign w:val="center"/>
          </w:tcPr>
          <w:p w:rsidR="009F534E" w:rsidRDefault="00E64051">
            <w:pPr>
              <w:widowControl/>
              <w:ind w:firstLineChars="0" w:firstLine="0"/>
              <w:jc w:val="center"/>
              <w:textAlignment w:val="center"/>
              <w:rPr>
                <w:rFonts w:ascii="宋体" w:hAnsi="宋体" w:cs="宋体"/>
                <w:b/>
                <w:color w:val="000000"/>
                <w:sz w:val="22"/>
              </w:rPr>
            </w:pPr>
            <w:r>
              <w:rPr>
                <w:rFonts w:ascii="宋体" w:hAnsi="宋体" w:cs="宋体" w:hint="eastAsia"/>
                <w:b/>
                <w:color w:val="000000"/>
                <w:kern w:val="0"/>
                <w:sz w:val="22"/>
              </w:rPr>
              <w:t>高峰小时汽车出车率</w:t>
            </w:r>
          </w:p>
        </w:tc>
        <w:tc>
          <w:tcPr>
            <w:tcW w:w="1641" w:type="dxa"/>
            <w:tcBorders>
              <w:top w:val="single" w:sz="4" w:space="0" w:color="000000"/>
              <w:left w:val="single" w:sz="4" w:space="0" w:color="000000"/>
              <w:bottom w:val="single" w:sz="4" w:space="0" w:color="000000"/>
              <w:right w:val="single" w:sz="4" w:space="0" w:color="000000"/>
            </w:tcBorders>
            <w:vAlign w:val="center"/>
          </w:tcPr>
          <w:p w:rsidR="009F534E" w:rsidRDefault="00E64051">
            <w:pPr>
              <w:widowControl/>
              <w:ind w:firstLineChars="0" w:firstLine="0"/>
              <w:jc w:val="center"/>
              <w:textAlignment w:val="center"/>
              <w:rPr>
                <w:rFonts w:ascii="宋体" w:hAnsi="宋体" w:cs="宋体"/>
                <w:b/>
                <w:color w:val="000000"/>
                <w:sz w:val="22"/>
              </w:rPr>
            </w:pPr>
            <w:r>
              <w:rPr>
                <w:rFonts w:ascii="宋体" w:hAnsi="宋体" w:cs="宋体" w:hint="eastAsia"/>
                <w:b/>
                <w:color w:val="000000"/>
                <w:kern w:val="0"/>
                <w:sz w:val="22"/>
              </w:rPr>
              <w:t>容纳汽车总量（辆）</w:t>
            </w:r>
          </w:p>
        </w:tc>
      </w:tr>
      <w:tr w:rsidR="009F534E">
        <w:trPr>
          <w:trHeight w:val="330"/>
          <w:jc w:val="center"/>
        </w:trPr>
        <w:tc>
          <w:tcPr>
            <w:tcW w:w="1611" w:type="dxa"/>
            <w:tcBorders>
              <w:top w:val="single" w:sz="4" w:space="0" w:color="000000"/>
              <w:left w:val="single" w:sz="4" w:space="0" w:color="000000"/>
              <w:bottom w:val="single" w:sz="4" w:space="0" w:color="000000"/>
              <w:right w:val="single" w:sz="4" w:space="0" w:color="000000"/>
            </w:tcBorders>
            <w:vAlign w:val="center"/>
          </w:tcPr>
          <w:p w:rsidR="009F534E" w:rsidRDefault="00E64051" w:rsidP="006C6AAE">
            <w:pPr>
              <w:autoSpaceDN w:val="0"/>
              <w:ind w:firstLine="440"/>
              <w:jc w:val="center"/>
              <w:textAlignment w:val="center"/>
              <w:rPr>
                <w:rFonts w:ascii="宋体" w:hAnsi="宋体" w:cs="宋体"/>
                <w:color w:val="000000"/>
                <w:kern w:val="0"/>
                <w:sz w:val="18"/>
                <w:szCs w:val="18"/>
              </w:rPr>
            </w:pPr>
            <w:r>
              <w:rPr>
                <w:rFonts w:ascii="宋体" w:hAnsi="宋体"/>
                <w:color w:val="000000"/>
                <w:sz w:val="22"/>
              </w:rPr>
              <w:t>B-30</w:t>
            </w:r>
          </w:p>
        </w:tc>
        <w:tc>
          <w:tcPr>
            <w:tcW w:w="1606" w:type="dxa"/>
            <w:tcBorders>
              <w:top w:val="single" w:sz="4" w:space="0" w:color="000000"/>
              <w:left w:val="single" w:sz="4" w:space="0" w:color="000000"/>
              <w:bottom w:val="single" w:sz="4" w:space="0" w:color="000000"/>
              <w:right w:val="single" w:sz="4" w:space="0" w:color="000000"/>
            </w:tcBorders>
            <w:vAlign w:val="center"/>
          </w:tcPr>
          <w:p w:rsidR="009F534E" w:rsidRDefault="00E64051" w:rsidP="006C6AAE">
            <w:pPr>
              <w:autoSpaceDN w:val="0"/>
              <w:ind w:firstLine="440"/>
              <w:jc w:val="center"/>
              <w:textAlignment w:val="center"/>
              <w:rPr>
                <w:rFonts w:ascii="宋体" w:hAnsi="宋体" w:cs="宋体"/>
                <w:color w:val="000000"/>
                <w:kern w:val="0"/>
                <w:sz w:val="21"/>
                <w:szCs w:val="21"/>
              </w:rPr>
            </w:pPr>
            <w:r>
              <w:rPr>
                <w:rFonts w:ascii="宋体" w:hAnsi="宋体"/>
                <w:color w:val="000000"/>
                <w:sz w:val="22"/>
                <w:szCs w:val="28"/>
              </w:rPr>
              <w:t>18766</w:t>
            </w:r>
          </w:p>
        </w:tc>
        <w:tc>
          <w:tcPr>
            <w:tcW w:w="1309" w:type="dxa"/>
            <w:tcBorders>
              <w:top w:val="single" w:sz="4" w:space="0" w:color="000000"/>
              <w:left w:val="single" w:sz="4" w:space="0" w:color="000000"/>
              <w:bottom w:val="single" w:sz="4" w:space="0" w:color="000000"/>
              <w:right w:val="single" w:sz="4" w:space="0" w:color="000000"/>
            </w:tcBorders>
            <w:vAlign w:val="center"/>
          </w:tcPr>
          <w:p w:rsidR="009F534E" w:rsidRDefault="00E64051" w:rsidP="006C6AAE">
            <w:pPr>
              <w:autoSpaceDN w:val="0"/>
              <w:ind w:firstLine="440"/>
              <w:jc w:val="center"/>
              <w:textAlignment w:val="center"/>
              <w:rPr>
                <w:rFonts w:ascii="宋体" w:hAnsi="宋体" w:cs="宋体"/>
                <w:color w:val="000000"/>
                <w:kern w:val="0"/>
                <w:sz w:val="21"/>
                <w:szCs w:val="21"/>
              </w:rPr>
            </w:pPr>
            <w:r>
              <w:rPr>
                <w:rFonts w:ascii="宋体" w:hAnsi="宋体"/>
                <w:color w:val="000000"/>
                <w:sz w:val="22"/>
                <w:szCs w:val="28"/>
              </w:rPr>
              <w:t>35</w:t>
            </w:r>
          </w:p>
        </w:tc>
        <w:tc>
          <w:tcPr>
            <w:tcW w:w="2153" w:type="dxa"/>
            <w:tcBorders>
              <w:top w:val="single" w:sz="4" w:space="0" w:color="000000"/>
              <w:left w:val="single" w:sz="4" w:space="0" w:color="000000"/>
              <w:bottom w:val="single" w:sz="4" w:space="0" w:color="000000"/>
              <w:right w:val="single" w:sz="4" w:space="0" w:color="000000"/>
            </w:tcBorders>
            <w:vAlign w:val="center"/>
          </w:tcPr>
          <w:p w:rsidR="009F534E" w:rsidRDefault="00E64051" w:rsidP="006C6AAE">
            <w:pPr>
              <w:autoSpaceDN w:val="0"/>
              <w:ind w:firstLine="440"/>
              <w:jc w:val="center"/>
              <w:textAlignment w:val="center"/>
              <w:rPr>
                <w:rFonts w:ascii="宋体" w:hAnsi="宋体" w:cs="宋体"/>
                <w:color w:val="000000"/>
                <w:kern w:val="0"/>
                <w:sz w:val="21"/>
                <w:szCs w:val="21"/>
              </w:rPr>
            </w:pPr>
            <w:r>
              <w:rPr>
                <w:rFonts w:ascii="宋体" w:hAnsi="宋体"/>
                <w:color w:val="000000"/>
                <w:sz w:val="22"/>
                <w:szCs w:val="28"/>
              </w:rPr>
              <w:t>0.8</w:t>
            </w:r>
          </w:p>
        </w:tc>
        <w:tc>
          <w:tcPr>
            <w:tcW w:w="1641" w:type="dxa"/>
            <w:tcBorders>
              <w:top w:val="single" w:sz="4" w:space="0" w:color="000000"/>
              <w:left w:val="single" w:sz="4" w:space="0" w:color="000000"/>
              <w:bottom w:val="single" w:sz="4" w:space="0" w:color="000000"/>
              <w:right w:val="single" w:sz="4" w:space="0" w:color="000000"/>
            </w:tcBorders>
            <w:vAlign w:val="center"/>
          </w:tcPr>
          <w:p w:rsidR="009F534E" w:rsidRDefault="00E64051" w:rsidP="006C6AAE">
            <w:pPr>
              <w:autoSpaceDN w:val="0"/>
              <w:ind w:firstLine="440"/>
              <w:jc w:val="center"/>
              <w:textAlignment w:val="center"/>
              <w:rPr>
                <w:rFonts w:ascii="宋体" w:hAnsi="宋体" w:cs="宋体"/>
                <w:color w:val="000000"/>
                <w:kern w:val="0"/>
                <w:sz w:val="21"/>
                <w:szCs w:val="21"/>
              </w:rPr>
            </w:pPr>
            <w:r>
              <w:rPr>
                <w:rFonts w:ascii="宋体" w:hAnsi="宋体"/>
                <w:color w:val="000000"/>
                <w:sz w:val="22"/>
                <w:szCs w:val="28"/>
              </w:rPr>
              <w:t xml:space="preserve">429 </w:t>
            </w:r>
          </w:p>
        </w:tc>
      </w:tr>
    </w:tbl>
    <w:p w:rsidR="009F534E" w:rsidRDefault="009F534E">
      <w:pPr>
        <w:widowControl/>
        <w:ind w:firstLineChars="0" w:firstLine="0"/>
        <w:jc w:val="center"/>
        <w:textAlignment w:val="center"/>
        <w:rPr>
          <w:rFonts w:ascii="宋体" w:hAnsi="宋体" w:cs="宋体"/>
          <w:color w:val="000000"/>
          <w:kern w:val="0"/>
          <w:sz w:val="20"/>
          <w:szCs w:val="20"/>
        </w:rPr>
      </w:pPr>
    </w:p>
    <w:p w:rsidR="009F534E" w:rsidRDefault="00E64051">
      <w:pPr>
        <w:pStyle w:val="a5"/>
        <w:spacing w:before="156" w:after="156"/>
        <w:ind w:firstLine="560"/>
      </w:pPr>
      <w:r>
        <w:rPr>
          <w:rFonts w:hint="eastAsia"/>
        </w:rPr>
        <w:t>影响分析：</w:t>
      </w:r>
    </w:p>
    <w:p w:rsidR="009F534E" w:rsidRDefault="00E64051">
      <w:pPr>
        <w:pStyle w:val="a5"/>
        <w:spacing w:before="156" w:after="156"/>
        <w:ind w:firstLine="560"/>
      </w:pPr>
      <w:r>
        <w:rPr>
          <w:rFonts w:hint="eastAsia"/>
        </w:rPr>
        <w:t>由下表可知本次调整各街坊的高峰小时生成量和容量比值较低，</w:t>
      </w:r>
    </w:p>
    <w:tbl>
      <w:tblPr>
        <w:tblW w:w="8300" w:type="dxa"/>
        <w:tblLayout w:type="fixed"/>
        <w:tblCellMar>
          <w:top w:w="15" w:type="dxa"/>
          <w:left w:w="15" w:type="dxa"/>
          <w:bottom w:w="15" w:type="dxa"/>
          <w:right w:w="15" w:type="dxa"/>
        </w:tblCellMar>
        <w:tblLook w:val="04A0" w:firstRow="1" w:lastRow="0" w:firstColumn="1" w:lastColumn="0" w:noHBand="0" w:noVBand="1"/>
      </w:tblPr>
      <w:tblGrid>
        <w:gridCol w:w="1681"/>
        <w:gridCol w:w="2250"/>
        <w:gridCol w:w="1926"/>
        <w:gridCol w:w="2443"/>
      </w:tblGrid>
      <w:tr w:rsidR="009F534E">
        <w:trPr>
          <w:trHeight w:val="1079"/>
        </w:trPr>
        <w:tc>
          <w:tcPr>
            <w:tcW w:w="16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F534E" w:rsidRDefault="00E64051" w:rsidP="006C6AAE">
            <w:pPr>
              <w:widowControl/>
              <w:ind w:firstLine="482"/>
              <w:jc w:val="center"/>
              <w:textAlignment w:val="center"/>
              <w:rPr>
                <w:rFonts w:ascii="宋体" w:hAnsi="宋体" w:cs="宋体"/>
                <w:b/>
                <w:color w:val="000000"/>
                <w:sz w:val="24"/>
                <w:szCs w:val="24"/>
              </w:rPr>
            </w:pPr>
            <w:r>
              <w:rPr>
                <w:rFonts w:ascii="宋体" w:hAnsi="宋体" w:cs="宋体" w:hint="eastAsia"/>
                <w:b/>
                <w:color w:val="000000"/>
                <w:kern w:val="0"/>
                <w:sz w:val="24"/>
                <w:szCs w:val="24"/>
              </w:rPr>
              <w:t>街坊</w:t>
            </w:r>
          </w:p>
        </w:tc>
        <w:tc>
          <w:tcPr>
            <w:tcW w:w="2250" w:type="dxa"/>
            <w:tcBorders>
              <w:top w:val="single" w:sz="4" w:space="0" w:color="000000"/>
              <w:left w:val="single" w:sz="4" w:space="0" w:color="000000"/>
              <w:bottom w:val="single" w:sz="4" w:space="0" w:color="000000"/>
              <w:right w:val="single" w:sz="4" w:space="0" w:color="000000"/>
            </w:tcBorders>
            <w:vAlign w:val="center"/>
          </w:tcPr>
          <w:p w:rsidR="009F534E" w:rsidRDefault="00E64051">
            <w:pPr>
              <w:widowControl/>
              <w:ind w:firstLineChars="0" w:firstLine="0"/>
              <w:jc w:val="center"/>
              <w:textAlignment w:val="center"/>
              <w:rPr>
                <w:rFonts w:ascii="宋体" w:hAnsi="宋体" w:cs="宋体"/>
                <w:b/>
                <w:color w:val="000000"/>
                <w:sz w:val="24"/>
                <w:szCs w:val="24"/>
              </w:rPr>
            </w:pPr>
            <w:r>
              <w:rPr>
                <w:rFonts w:ascii="宋体" w:hAnsi="宋体" w:cs="宋体" w:hint="eastAsia"/>
                <w:b/>
                <w:color w:val="000000"/>
                <w:kern w:val="0"/>
                <w:sz w:val="24"/>
                <w:szCs w:val="24"/>
              </w:rPr>
              <w:t>可容纳汽车总量（辆）</w:t>
            </w:r>
          </w:p>
        </w:tc>
        <w:tc>
          <w:tcPr>
            <w:tcW w:w="1926" w:type="dxa"/>
            <w:tcBorders>
              <w:top w:val="single" w:sz="4" w:space="0" w:color="000000"/>
              <w:left w:val="single" w:sz="4" w:space="0" w:color="000000"/>
              <w:bottom w:val="single" w:sz="4" w:space="0" w:color="000000"/>
              <w:right w:val="single" w:sz="4" w:space="0" w:color="000000"/>
            </w:tcBorders>
            <w:vAlign w:val="center"/>
          </w:tcPr>
          <w:p w:rsidR="009F534E" w:rsidRDefault="00E64051">
            <w:pPr>
              <w:widowControl/>
              <w:ind w:firstLineChars="0" w:firstLine="0"/>
              <w:jc w:val="center"/>
              <w:textAlignment w:val="center"/>
              <w:rPr>
                <w:rFonts w:ascii="宋体" w:hAnsi="宋体" w:cs="宋体"/>
                <w:b/>
                <w:color w:val="000000"/>
                <w:sz w:val="24"/>
                <w:szCs w:val="24"/>
              </w:rPr>
            </w:pPr>
            <w:r>
              <w:rPr>
                <w:rFonts w:ascii="宋体" w:hAnsi="宋体" w:cs="宋体" w:hint="eastAsia"/>
                <w:b/>
                <w:color w:val="000000"/>
                <w:kern w:val="0"/>
                <w:sz w:val="24"/>
                <w:szCs w:val="24"/>
              </w:rPr>
              <w:t>小汽车出行总量（辆）</w:t>
            </w:r>
          </w:p>
        </w:tc>
        <w:tc>
          <w:tcPr>
            <w:tcW w:w="2443" w:type="dxa"/>
            <w:tcBorders>
              <w:top w:val="single" w:sz="4" w:space="0" w:color="000000"/>
              <w:left w:val="single" w:sz="4" w:space="0" w:color="000000"/>
              <w:bottom w:val="single" w:sz="4" w:space="0" w:color="000000"/>
              <w:right w:val="single" w:sz="4" w:space="0" w:color="000000"/>
            </w:tcBorders>
            <w:vAlign w:val="center"/>
          </w:tcPr>
          <w:p w:rsidR="009F534E" w:rsidRDefault="00E64051" w:rsidP="006C6AAE">
            <w:pPr>
              <w:widowControl/>
              <w:ind w:firstLine="482"/>
              <w:jc w:val="center"/>
              <w:textAlignment w:val="center"/>
              <w:rPr>
                <w:rFonts w:ascii="宋体" w:hAnsi="宋体" w:cs="宋体"/>
                <w:b/>
                <w:color w:val="000000"/>
                <w:sz w:val="24"/>
                <w:szCs w:val="24"/>
              </w:rPr>
            </w:pPr>
            <w:r>
              <w:rPr>
                <w:rFonts w:ascii="宋体" w:hAnsi="宋体" w:cs="宋体" w:hint="eastAsia"/>
                <w:b/>
                <w:color w:val="000000"/>
                <w:kern w:val="0"/>
                <w:sz w:val="24"/>
                <w:szCs w:val="24"/>
              </w:rPr>
              <w:t>高峰小时生成量和容量比值（辆/辆）</w:t>
            </w:r>
          </w:p>
        </w:tc>
      </w:tr>
      <w:tr w:rsidR="009F534E">
        <w:trPr>
          <w:trHeight w:val="339"/>
        </w:trPr>
        <w:tc>
          <w:tcPr>
            <w:tcW w:w="1681" w:type="dxa"/>
            <w:tcBorders>
              <w:top w:val="single" w:sz="4" w:space="0" w:color="000000"/>
              <w:left w:val="single" w:sz="4" w:space="0" w:color="000000"/>
              <w:bottom w:val="single" w:sz="4" w:space="0" w:color="000000"/>
              <w:right w:val="single" w:sz="4" w:space="0" w:color="000000"/>
            </w:tcBorders>
            <w:vAlign w:val="center"/>
          </w:tcPr>
          <w:p w:rsidR="009F534E" w:rsidRDefault="00E64051" w:rsidP="006C6AAE">
            <w:pPr>
              <w:autoSpaceDN w:val="0"/>
              <w:ind w:firstLine="440"/>
              <w:jc w:val="center"/>
              <w:textAlignment w:val="center"/>
              <w:rPr>
                <w:rFonts w:ascii="宋体" w:hAnsi="宋体" w:cs="宋体"/>
                <w:color w:val="000000"/>
                <w:sz w:val="21"/>
                <w:szCs w:val="21"/>
              </w:rPr>
            </w:pPr>
            <w:r>
              <w:rPr>
                <w:rFonts w:ascii="宋体" w:hAnsi="宋体"/>
                <w:color w:val="000000"/>
                <w:sz w:val="22"/>
              </w:rPr>
              <w:t>B-30</w:t>
            </w:r>
          </w:p>
        </w:tc>
        <w:tc>
          <w:tcPr>
            <w:tcW w:w="2250" w:type="dxa"/>
            <w:tcBorders>
              <w:top w:val="single" w:sz="4" w:space="0" w:color="000000"/>
              <w:left w:val="single" w:sz="4" w:space="0" w:color="000000"/>
              <w:bottom w:val="single" w:sz="4" w:space="0" w:color="000000"/>
              <w:right w:val="single" w:sz="4" w:space="0" w:color="000000"/>
            </w:tcBorders>
            <w:vAlign w:val="center"/>
          </w:tcPr>
          <w:p w:rsidR="009F534E" w:rsidRDefault="00E64051" w:rsidP="006C6AAE">
            <w:pPr>
              <w:autoSpaceDN w:val="0"/>
              <w:ind w:firstLine="480"/>
              <w:jc w:val="center"/>
              <w:textAlignment w:val="center"/>
              <w:rPr>
                <w:rFonts w:ascii="宋体" w:hAnsi="宋体" w:cs="宋体"/>
                <w:color w:val="000000"/>
                <w:sz w:val="24"/>
                <w:szCs w:val="24"/>
              </w:rPr>
            </w:pPr>
            <w:r>
              <w:rPr>
                <w:rFonts w:ascii="宋体" w:hAnsi="宋体"/>
                <w:color w:val="000000"/>
                <w:sz w:val="24"/>
              </w:rPr>
              <w:t>429</w:t>
            </w:r>
          </w:p>
        </w:tc>
        <w:tc>
          <w:tcPr>
            <w:tcW w:w="1926" w:type="dxa"/>
            <w:tcBorders>
              <w:top w:val="single" w:sz="4" w:space="0" w:color="000000"/>
              <w:left w:val="single" w:sz="4" w:space="0" w:color="000000"/>
              <w:bottom w:val="single" w:sz="4" w:space="0" w:color="000000"/>
              <w:right w:val="single" w:sz="4" w:space="0" w:color="000000"/>
            </w:tcBorders>
            <w:vAlign w:val="center"/>
          </w:tcPr>
          <w:p w:rsidR="009F534E" w:rsidRDefault="00E64051" w:rsidP="006C6AAE">
            <w:pPr>
              <w:autoSpaceDN w:val="0"/>
              <w:ind w:firstLine="480"/>
              <w:jc w:val="center"/>
              <w:textAlignment w:val="center"/>
              <w:rPr>
                <w:rFonts w:ascii="宋体" w:hAnsi="宋体" w:cs="宋体"/>
                <w:color w:val="000000"/>
                <w:sz w:val="24"/>
                <w:szCs w:val="24"/>
              </w:rPr>
            </w:pPr>
            <w:r>
              <w:rPr>
                <w:rFonts w:ascii="宋体" w:hAnsi="宋体"/>
                <w:color w:val="000000"/>
                <w:sz w:val="24"/>
              </w:rPr>
              <w:t>74</w:t>
            </w:r>
          </w:p>
        </w:tc>
        <w:tc>
          <w:tcPr>
            <w:tcW w:w="2443" w:type="dxa"/>
            <w:tcBorders>
              <w:top w:val="single" w:sz="4" w:space="0" w:color="000000"/>
              <w:left w:val="single" w:sz="4" w:space="0" w:color="000000"/>
              <w:bottom w:val="single" w:sz="4" w:space="0" w:color="000000"/>
              <w:right w:val="single" w:sz="4" w:space="0" w:color="000000"/>
            </w:tcBorders>
            <w:vAlign w:val="center"/>
          </w:tcPr>
          <w:p w:rsidR="009F534E" w:rsidRDefault="00E64051" w:rsidP="006C6AAE">
            <w:pPr>
              <w:autoSpaceDN w:val="0"/>
              <w:ind w:firstLine="480"/>
              <w:jc w:val="center"/>
              <w:textAlignment w:val="center"/>
              <w:rPr>
                <w:rFonts w:ascii="宋体" w:hAnsi="宋体" w:cs="宋体"/>
                <w:color w:val="000000"/>
                <w:sz w:val="24"/>
                <w:szCs w:val="24"/>
              </w:rPr>
            </w:pPr>
            <w:r>
              <w:rPr>
                <w:rFonts w:ascii="宋体" w:hAnsi="宋体"/>
                <w:color w:val="000000"/>
                <w:sz w:val="24"/>
              </w:rPr>
              <w:t xml:space="preserve">0.172 </w:t>
            </w:r>
          </w:p>
        </w:tc>
      </w:tr>
    </w:tbl>
    <w:p w:rsidR="009F534E" w:rsidRDefault="00E64051">
      <w:pPr>
        <w:pStyle w:val="a5"/>
        <w:spacing w:before="156" w:after="156"/>
        <w:ind w:firstLine="560"/>
      </w:pPr>
      <w:r>
        <w:rPr>
          <w:rFonts w:hint="eastAsia"/>
        </w:rPr>
        <w:t>由上表格可知，对规划用地进行了调整后，虽然部分地块提高了容积率，增加了人口和建筑面积，本次调整范围内道路可以满足居民出行需求。</w:t>
      </w:r>
    </w:p>
    <w:p w:rsidR="009F534E" w:rsidRDefault="00E64051" w:rsidP="006C6AAE">
      <w:pPr>
        <w:numPr>
          <w:ilvl w:val="0"/>
          <w:numId w:val="2"/>
        </w:numPr>
        <w:spacing w:beforeLines="50" w:before="156" w:afterLines="50" w:after="156" w:line="360" w:lineRule="auto"/>
        <w:ind w:firstLine="560"/>
        <w:rPr>
          <w:rFonts w:ascii="宋体" w:hAnsi="宋体"/>
          <w:szCs w:val="28"/>
        </w:rPr>
      </w:pPr>
      <w:r>
        <w:rPr>
          <w:rFonts w:ascii="宋体" w:hAnsi="宋体" w:hint="eastAsia"/>
          <w:szCs w:val="28"/>
        </w:rPr>
        <w:t>静态交通：</w:t>
      </w:r>
    </w:p>
    <w:p w:rsidR="009F534E" w:rsidRDefault="00E64051" w:rsidP="006C6AAE">
      <w:pPr>
        <w:ind w:firstLine="560"/>
      </w:pPr>
      <w:r>
        <w:rPr>
          <w:rFonts w:hint="eastAsia"/>
        </w:rPr>
        <w:t>规划各地块停车位配建依据《长治市城乡规划管理技术规定》中的相关要求执行。</w:t>
      </w:r>
    </w:p>
    <w:p w:rsidR="009F534E" w:rsidRDefault="00E64051">
      <w:pPr>
        <w:pStyle w:val="2"/>
      </w:pPr>
      <w:bookmarkStart w:id="14" w:name="_Toc12233"/>
      <w:r>
        <w:rPr>
          <w:rFonts w:hint="eastAsia"/>
        </w:rPr>
        <w:t>七、项目可实施性</w:t>
      </w:r>
      <w:bookmarkEnd w:id="14"/>
    </w:p>
    <w:p w:rsidR="009F534E" w:rsidRDefault="00E64051">
      <w:pPr>
        <w:pStyle w:val="a5"/>
        <w:spacing w:before="156" w:after="156"/>
        <w:ind w:firstLine="560"/>
      </w:pPr>
      <w:r>
        <w:rPr>
          <w:rFonts w:hint="eastAsia"/>
        </w:rPr>
        <w:t>综上所述，本次对</w:t>
      </w:r>
      <w:r>
        <w:rPr>
          <w:rFonts w:ascii="宋体" w:hAnsi="宋体" w:hint="eastAsia"/>
          <w:szCs w:val="28"/>
        </w:rPr>
        <w:t>《沁源县城东片区控制性详细规划》</w:t>
      </w:r>
      <w:r>
        <w:rPr>
          <w:rFonts w:hint="eastAsia"/>
        </w:rPr>
        <w:t>中的</w:t>
      </w:r>
      <w:r>
        <w:rPr>
          <w:rFonts w:hint="eastAsia"/>
        </w:rPr>
        <w:t>B</w:t>
      </w:r>
      <w:r>
        <w:rPr>
          <w:rFonts w:hint="eastAsia"/>
        </w:rPr>
        <w:t>单元中的</w:t>
      </w:r>
      <w:r>
        <w:rPr>
          <w:rFonts w:hint="eastAsia"/>
        </w:rPr>
        <w:t>B-30-01-01</w:t>
      </w:r>
      <w:r>
        <w:rPr>
          <w:rFonts w:hint="eastAsia"/>
        </w:rPr>
        <w:t>地块进行调整之后，可满足项目建设需求</w:t>
      </w:r>
      <w:r>
        <w:rPr>
          <w:rFonts w:hint="eastAsia"/>
        </w:rPr>
        <w:t>,</w:t>
      </w:r>
      <w:r>
        <w:rPr>
          <w:rFonts w:hint="eastAsia"/>
        </w:rPr>
        <w:t>同时原规划城市道路，城市基础设施经适当调整后均可满足调整后居民日常出行和生活需求。</w:t>
      </w:r>
    </w:p>
    <w:p w:rsidR="009F534E" w:rsidRDefault="00E64051">
      <w:pPr>
        <w:widowControl/>
        <w:spacing w:line="360" w:lineRule="auto"/>
        <w:ind w:firstLine="560"/>
        <w:textAlignment w:val="center"/>
      </w:pPr>
      <w:r>
        <w:rPr>
          <w:rFonts w:hint="eastAsia"/>
        </w:rPr>
        <w:t>由此可见，本次地块控</w:t>
      </w:r>
      <w:proofErr w:type="gramStart"/>
      <w:r>
        <w:rPr>
          <w:rFonts w:hint="eastAsia"/>
        </w:rPr>
        <w:t>规</w:t>
      </w:r>
      <w:proofErr w:type="gramEnd"/>
      <w:r>
        <w:rPr>
          <w:rFonts w:hint="eastAsia"/>
        </w:rPr>
        <w:t>调整是必要的，方案是可行的。</w:t>
      </w:r>
    </w:p>
    <w:p w:rsidR="009F534E" w:rsidRDefault="009F534E">
      <w:pPr>
        <w:widowControl/>
        <w:spacing w:line="360" w:lineRule="auto"/>
        <w:ind w:firstLine="560"/>
        <w:textAlignment w:val="center"/>
      </w:pPr>
    </w:p>
    <w:p w:rsidR="009F534E" w:rsidRDefault="009F534E">
      <w:pPr>
        <w:widowControl/>
        <w:spacing w:line="360" w:lineRule="auto"/>
        <w:ind w:firstLine="560"/>
        <w:textAlignment w:val="center"/>
      </w:pPr>
    </w:p>
    <w:p w:rsidR="009F534E" w:rsidRDefault="009F534E">
      <w:pPr>
        <w:widowControl/>
        <w:spacing w:line="360" w:lineRule="auto"/>
        <w:ind w:firstLine="560"/>
        <w:textAlignment w:val="center"/>
      </w:pPr>
    </w:p>
    <w:sectPr w:rsidR="009F534E">
      <w:footerReference w:type="default" r:id="rId19"/>
      <w:pgSz w:w="11906" w:h="16838"/>
      <w:pgMar w:top="1440" w:right="1800" w:bottom="1440" w:left="1800" w:header="851" w:footer="992" w:gutter="0"/>
      <w:pgNumType w:start="1"/>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6782" w:rsidRDefault="00F66782" w:rsidP="006C6AAE">
      <w:pPr>
        <w:ind w:firstLine="560"/>
      </w:pPr>
      <w:r>
        <w:separator/>
      </w:r>
    </w:p>
  </w:endnote>
  <w:endnote w:type="continuationSeparator" w:id="0">
    <w:p w:rsidR="00F66782" w:rsidRDefault="00F66782" w:rsidP="006C6AAE">
      <w:pPr>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AAE" w:rsidRDefault="006C6AAE" w:rsidP="006C6AAE">
    <w:pPr>
      <w:pStyle w:val="a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AAE" w:rsidRDefault="006C6AAE" w:rsidP="006C6AAE">
    <w:pPr>
      <w:pStyle w:val="a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AAE" w:rsidRDefault="006C6AAE" w:rsidP="006C6AAE">
    <w:pPr>
      <w:pStyle w:val="a3"/>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34E" w:rsidRDefault="00F66782" w:rsidP="006C6AAE">
    <w:pPr>
      <w:pStyle w:val="a3"/>
      <w:ind w:firstLine="360"/>
    </w:pPr>
    <w:r>
      <w:pict>
        <v:rect id="文本框 17" o:spid="_x0000_s2049" style="position:absolute;left:0;text-align:left;margin-left:0;margin-top:0;width:2in;height:2in;z-index:1;mso-wrap-style:none;mso-position-horizontal:center;mso-position-horizontal-relative:margin" o:preferrelative="t" filled="f" stroked="f">
          <v:textbox style="mso-fit-shape-to-text:t" inset="0,0,0,0">
            <w:txbxContent>
              <w:p w:rsidR="009F534E" w:rsidRDefault="00E64051" w:rsidP="006C6AAE">
                <w:pPr>
                  <w:pStyle w:val="a3"/>
                  <w:ind w:firstLine="360"/>
                </w:pPr>
                <w:r>
                  <w:rPr>
                    <w:rFonts w:hint="eastAsia"/>
                  </w:rPr>
                  <w:fldChar w:fldCharType="begin"/>
                </w:r>
                <w:r>
                  <w:rPr>
                    <w:rFonts w:hint="eastAsia"/>
                  </w:rPr>
                  <w:instrText xml:space="preserve"> PAGE  \* MERGEFORMAT </w:instrText>
                </w:r>
                <w:r>
                  <w:rPr>
                    <w:rFonts w:hint="eastAsia"/>
                  </w:rPr>
                  <w:fldChar w:fldCharType="separate"/>
                </w:r>
                <w:r w:rsidR="00AA1631">
                  <w:rPr>
                    <w:noProof/>
                  </w:rPr>
                  <w:t>11</w:t>
                </w:r>
                <w:r>
                  <w:rPr>
                    <w:rFonts w:hint="eastAsia"/>
                  </w:rPr>
                  <w:fldChar w:fldCharType="end"/>
                </w:r>
              </w:p>
            </w:txbxContent>
          </v:textbox>
          <w10:wrap anchorx="margin"/>
        </v:rect>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6782" w:rsidRDefault="00F66782" w:rsidP="006C6AAE">
      <w:pPr>
        <w:ind w:firstLine="560"/>
      </w:pPr>
      <w:r>
        <w:separator/>
      </w:r>
    </w:p>
  </w:footnote>
  <w:footnote w:type="continuationSeparator" w:id="0">
    <w:p w:rsidR="00F66782" w:rsidRDefault="00F66782" w:rsidP="006C6AAE">
      <w:pPr>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AAE" w:rsidRDefault="006C6AAE" w:rsidP="006C6AAE">
    <w:pPr>
      <w:pStyle w:val="a4"/>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AAE" w:rsidRDefault="006C6AAE" w:rsidP="006C6AAE">
    <w:pPr>
      <w:pStyle w:val="a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AAE" w:rsidRDefault="006C6AAE" w:rsidP="006C6AAE">
    <w:pPr>
      <w:pStyle w:val="a4"/>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C80B61"/>
    <w:multiLevelType w:val="singleLevel"/>
    <w:tmpl w:val="55C80B61"/>
    <w:lvl w:ilvl="0">
      <w:start w:val="1"/>
      <w:numFmt w:val="chineseCounting"/>
      <w:suff w:val="nothing"/>
      <w:lvlText w:val="%1、"/>
      <w:lvlJc w:val="left"/>
    </w:lvl>
  </w:abstractNum>
  <w:abstractNum w:abstractNumId="1">
    <w:nsid w:val="573A8A39"/>
    <w:multiLevelType w:val="singleLevel"/>
    <w:tmpl w:val="573A8A39"/>
    <w:lvl w:ilvl="0">
      <w:start w:val="2"/>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oNotTrackMoves/>
  <w:defaultTabStop w:val="420"/>
  <w:drawingGridVerticalSpacing w:val="156"/>
  <w:noPunctuationKerning/>
  <w:characterSpacingControl w:val="compressPunctuation"/>
  <w:hdrShapeDefaults>
    <o:shapedefaults v:ext="edit" spidmax="2050" fillcolor="#9cbee0" strokecolor="#739cc3">
      <v:fill color="#9cbee0" color2="#bbd5f0" type="gradient">
        <o:fill v:ext="view" type="gradientUnscaled"/>
      </v:fill>
      <v:stroke color="#739cc3" weight="1.25pt" miterlimit="2"/>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F534E"/>
    <w:rsid w:val="006C6AAE"/>
    <w:rsid w:val="009F534E"/>
    <w:rsid w:val="00AA1631"/>
    <w:rsid w:val="00B26757"/>
    <w:rsid w:val="00E64051"/>
    <w:rsid w:val="00E72F60"/>
    <w:rsid w:val="00F66782"/>
    <w:rsid w:val="00FE20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Table Grid" w:semiHidden="1" w:uiPriority="99"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ind w:firstLineChars="200" w:firstLine="643"/>
      <w:jc w:val="both"/>
    </w:pPr>
    <w:rPr>
      <w:rFonts w:cs="黑体"/>
      <w:kern w:val="2"/>
      <w:sz w:val="28"/>
      <w:szCs w:val="22"/>
    </w:rPr>
  </w:style>
  <w:style w:type="paragraph" w:styleId="1">
    <w:name w:val="heading 1"/>
    <w:basedOn w:val="a"/>
    <w:next w:val="a"/>
    <w:qFormat/>
    <w:pPr>
      <w:keepNext/>
      <w:keepLines/>
      <w:spacing w:before="340" w:after="330" w:line="578" w:lineRule="auto"/>
      <w:outlineLvl w:val="0"/>
    </w:pPr>
    <w:rPr>
      <w:b/>
      <w:bCs/>
      <w:kern w:val="44"/>
      <w:sz w:val="44"/>
      <w:szCs w:val="44"/>
    </w:rPr>
  </w:style>
  <w:style w:type="paragraph" w:styleId="2">
    <w:name w:val="heading 2"/>
    <w:basedOn w:val="a"/>
    <w:next w:val="a"/>
    <w:unhideWhenUsed/>
    <w:qFormat/>
    <w:pPr>
      <w:keepNext/>
      <w:keepLines/>
      <w:spacing w:before="260" w:after="260" w:line="416" w:lineRule="auto"/>
      <w:ind w:firstLineChars="0" w:firstLine="0"/>
      <w:outlineLvl w:val="1"/>
    </w:pPr>
    <w:rPr>
      <w:rFonts w:ascii="Cambria" w:hAnsi="Cambria"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qFormat/>
  </w:style>
  <w:style w:type="paragraph" w:styleId="20">
    <w:name w:val="toc 2"/>
    <w:basedOn w:val="a"/>
    <w:next w:val="a"/>
    <w:qFormat/>
    <w:pPr>
      <w:ind w:leftChars="200" w:left="420"/>
    </w:pPr>
  </w:style>
  <w:style w:type="paragraph" w:customStyle="1" w:styleId="a5">
    <w:name w:val="本次正文"/>
    <w:basedOn w:val="a"/>
    <w:qFormat/>
    <w:pPr>
      <w:spacing w:beforeLines="50" w:afterLines="50" w:line="360" w:lineRule="auto"/>
      <w:ind w:firstLine="200"/>
    </w:pPr>
  </w:style>
  <w:style w:type="character" w:customStyle="1" w:styleId="font11">
    <w:name w:val="font11"/>
    <w:qFormat/>
    <w:rPr>
      <w:rFonts w:ascii="Calibri" w:hAnsi="Calibri" w:cs="Calibri"/>
      <w:color w:val="000000"/>
      <w:sz w:val="20"/>
      <w:szCs w:val="20"/>
      <w:u w:val="none"/>
    </w:rPr>
  </w:style>
  <w:style w:type="character" w:customStyle="1" w:styleId="font41">
    <w:name w:val="font41"/>
    <w:qFormat/>
    <w:rPr>
      <w:rFonts w:ascii="宋体" w:eastAsia="宋体" w:hAnsi="宋体" w:cs="宋体" w:hint="eastAsia"/>
      <w:color w:val="000000"/>
      <w:sz w:val="20"/>
      <w:szCs w:val="20"/>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jpeg"/><Relationship Id="rId10" Type="http://schemas.openxmlformats.org/officeDocument/2006/relationships/header" Target="header2.xml"/><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7" textRotate="1"/>
    <customShpInfo spid="_x0000_s1029" textRotate="1"/>
    <customShpInfo spid="_x0000_s1032" textRotate="1"/>
    <customShpInfo spid="_x0000_s1033"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633</Words>
  <Characters>3610</Characters>
  <Application>Microsoft Office Word</Application>
  <DocSecurity>0</DocSecurity>
  <Lines>30</Lines>
  <Paragraphs>8</Paragraphs>
  <ScaleCrop>false</ScaleCrop>
  <Company>微软中国</Company>
  <LinksUpToDate>false</LinksUpToDate>
  <CharactersWithSpaces>4235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沁源县县城东片区控制性详细规划调整论证报告</dc:title>
  <dc:creator>Administrator</dc:creator>
  <cp:lastModifiedBy>微软用户</cp:lastModifiedBy>
  <cp:revision>6</cp:revision>
  <cp:lastPrinted>2019-09-26T00:47:00Z</cp:lastPrinted>
  <dcterms:created xsi:type="dcterms:W3CDTF">2018-12-21T09:27:00Z</dcterms:created>
  <dcterms:modified xsi:type="dcterms:W3CDTF">2019-09-26T00:48:00Z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2052-9.1.0.4337</vt:lpwstr>
  </property>
</Properties>
</file>