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9"/>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沁源县</w:t>
      </w:r>
      <w:r>
        <w:rPr>
          <w:rFonts w:hint="eastAsia" w:ascii="方正小标宋简体" w:hAnsi="方正小标宋简体" w:eastAsia="方正小标宋简体" w:cs="方正小标宋简体"/>
          <w:sz w:val="44"/>
          <w:szCs w:val="44"/>
        </w:rPr>
        <w:t>提升行政执法质量三年行动计划</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64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任务清单</w:t>
      </w:r>
      <w:r>
        <w:rPr>
          <w:rFonts w:hint="eastAsia" w:ascii="方正小标宋简体" w:hAnsi="方正小标宋简体" w:eastAsia="方正小标宋简体" w:cs="方正小标宋简体"/>
          <w:sz w:val="44"/>
          <w:szCs w:val="44"/>
        </w:rPr>
        <w:t>（2023</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2025年）</w:t>
      </w:r>
    </w:p>
    <w:bookmarkEnd w:id="0"/>
    <w:tbl>
      <w:tblPr>
        <w:tblStyle w:val="13"/>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70"/>
        <w:gridCol w:w="119"/>
        <w:gridCol w:w="1035"/>
        <w:gridCol w:w="13"/>
        <w:gridCol w:w="1411"/>
        <w:gridCol w:w="4736"/>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308" w:type="dxa"/>
            <w:gridSpan w:val="6"/>
            <w:vAlign w:val="center"/>
          </w:tcPr>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工作任务</w:t>
            </w:r>
          </w:p>
        </w:tc>
        <w:tc>
          <w:tcPr>
            <w:tcW w:w="4736" w:type="dxa"/>
            <w:vMerge w:val="restart"/>
            <w:vAlign w:val="center"/>
          </w:tcPr>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lang w:eastAsia="zh-CN"/>
              </w:rPr>
              <w:t>县</w:t>
            </w:r>
            <w:r>
              <w:rPr>
                <w:rFonts w:hint="eastAsia" w:ascii="黑体" w:hAnsi="黑体" w:eastAsia="黑体" w:cs="黑体"/>
                <w:b w:val="0"/>
                <w:bCs/>
                <w:sz w:val="18"/>
                <w:szCs w:val="18"/>
              </w:rPr>
              <w:t>级具体举措</w:t>
            </w:r>
          </w:p>
        </w:tc>
        <w:tc>
          <w:tcPr>
            <w:tcW w:w="794" w:type="dxa"/>
            <w:vMerge w:val="restart"/>
            <w:vAlign w:val="center"/>
          </w:tcPr>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责任</w:t>
            </w:r>
          </w:p>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30" w:type="dxa"/>
            <w:gridSpan w:val="2"/>
            <w:vAlign w:val="center"/>
          </w:tcPr>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任务</w:t>
            </w:r>
          </w:p>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分类</w:t>
            </w:r>
          </w:p>
        </w:tc>
        <w:tc>
          <w:tcPr>
            <w:tcW w:w="1167" w:type="dxa"/>
            <w:gridSpan w:val="3"/>
            <w:vAlign w:val="center"/>
          </w:tcPr>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省级指标</w:t>
            </w:r>
          </w:p>
        </w:tc>
        <w:tc>
          <w:tcPr>
            <w:tcW w:w="1411" w:type="dxa"/>
            <w:vAlign w:val="center"/>
          </w:tcPr>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市级指标</w:t>
            </w:r>
          </w:p>
        </w:tc>
        <w:tc>
          <w:tcPr>
            <w:tcW w:w="4736" w:type="dxa"/>
            <w:vMerge w:val="continue"/>
            <w:vAlign w:val="center"/>
          </w:tcPr>
          <w:p>
            <w:pPr>
              <w:pStyle w:val="3"/>
              <w:spacing w:before="0" w:beforeAutospacing="0" w:after="0" w:afterAutospacing="0" w:line="240" w:lineRule="exact"/>
              <w:jc w:val="center"/>
              <w:outlineLvl w:val="2"/>
              <w:rPr>
                <w:rFonts w:hint="default" w:cs="宋体"/>
                <w:sz w:val="18"/>
                <w:szCs w:val="18"/>
              </w:rPr>
            </w:pPr>
          </w:p>
        </w:tc>
        <w:tc>
          <w:tcPr>
            <w:tcW w:w="794" w:type="dxa"/>
            <w:vMerge w:val="continue"/>
            <w:vAlign w:val="center"/>
          </w:tcPr>
          <w:p>
            <w:pPr>
              <w:pStyle w:val="3"/>
              <w:spacing w:before="0" w:beforeAutospacing="0" w:after="0" w:afterAutospacing="0" w:line="240" w:lineRule="exact"/>
              <w:jc w:val="center"/>
              <w:outlineLvl w:val="2"/>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30" w:type="dxa"/>
            <w:gridSpan w:val="2"/>
            <w:vMerge w:val="restart"/>
            <w:vAlign w:val="center"/>
          </w:tcPr>
          <w:p>
            <w:pPr>
              <w:pStyle w:val="9"/>
              <w:spacing w:beforeAutospacing="0" w:afterAutospacing="0" w:line="240" w:lineRule="exact"/>
              <w:jc w:val="center"/>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rPr>
              <w:t>一、</w:t>
            </w:r>
          </w:p>
          <w:p>
            <w:pPr>
              <w:pStyle w:val="9"/>
              <w:spacing w:beforeAutospacing="0" w:afterAutospacing="0" w:line="240" w:lineRule="exact"/>
              <w:jc w:val="center"/>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rPr>
              <w:t>全面提升行政执法人员能力素质</w:t>
            </w:r>
          </w:p>
        </w:tc>
        <w:tc>
          <w:tcPr>
            <w:tcW w:w="1167" w:type="dxa"/>
            <w:gridSpan w:val="3"/>
            <w:vMerge w:val="restart"/>
            <w:vAlign w:val="center"/>
          </w:tcPr>
          <w:p>
            <w:pPr>
              <w:pStyle w:val="3"/>
              <w:keepNext w:val="0"/>
              <w:keepLines w:val="0"/>
              <w:pageBreakBefore w:val="0"/>
              <w:widowControl w:val="0"/>
              <w:numPr>
                <w:ilvl w:val="0"/>
                <w:numId w:val="1"/>
              </w:numPr>
              <w:wordWrap/>
              <w:overflowPunct/>
              <w:autoSpaceDE w:val="0"/>
              <w:autoSpaceDN w:val="0"/>
              <w:bidi w:val="0"/>
              <w:adjustRightInd/>
              <w:snapToGrid/>
              <w:spacing w:before="0" w:beforeAutospacing="0" w:after="0" w:afterAutospacing="0" w:line="280" w:lineRule="exact"/>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着力提高政治能力</w:t>
            </w:r>
          </w:p>
        </w:tc>
        <w:tc>
          <w:tcPr>
            <w:tcW w:w="1411" w:type="dxa"/>
            <w:vAlign w:val="center"/>
          </w:tcPr>
          <w:p>
            <w:pPr>
              <w:pStyle w:val="3"/>
              <w:keepNext w:val="0"/>
              <w:keepLines w:val="0"/>
              <w:pageBreakBefore w:val="0"/>
              <w:widowControl w:val="0"/>
              <w:wordWrap/>
              <w:overflow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（1）加强基层行政执法单位党组织建设</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直各行政执法</w:t>
            </w:r>
            <w:r>
              <w:rPr>
                <w:rFonts w:hint="eastAsia" w:cs="宋体"/>
                <w:b w:val="0"/>
                <w:bCs/>
                <w:sz w:val="18"/>
                <w:szCs w:val="18"/>
                <w:lang w:eastAsia="zh-CN"/>
              </w:rPr>
              <w:t>部门</w:t>
            </w:r>
            <w:r>
              <w:rPr>
                <w:rFonts w:hint="eastAsia" w:ascii="宋体" w:hAnsi="宋体" w:eastAsia="宋体" w:cs="宋体"/>
                <w:b w:val="0"/>
                <w:bCs/>
                <w:sz w:val="18"/>
                <w:szCs w:val="18"/>
              </w:rPr>
              <w:t>及各乡镇要把加强党的政治建设放在首位，充分发挥党建引领作用，推进深化机关党建+执法的特色品牌，推动党支部和党员在综合行政执法、服务群众等方面发挥好先锋堡垒作用。</w:t>
            </w:r>
          </w:p>
        </w:tc>
        <w:tc>
          <w:tcPr>
            <w:tcW w:w="794" w:type="dxa"/>
            <w:vMerge w:val="restart"/>
            <w:vAlign w:val="center"/>
          </w:tcPr>
          <w:p>
            <w:pPr>
              <w:pStyle w:val="3"/>
              <w:spacing w:before="0" w:beforeAutospacing="0" w:after="0" w:afterAutospacing="0" w:line="240" w:lineRule="exact"/>
              <w:jc w:val="both"/>
              <w:outlineLvl w:val="2"/>
              <w:rPr>
                <w:rFonts w:hint="eastAsia" w:ascii="宋体" w:hAnsi="宋体" w:eastAsia="宋体" w:cs="宋体"/>
                <w:b w:val="0"/>
                <w:bCs/>
                <w:sz w:val="18"/>
                <w:szCs w:val="18"/>
              </w:rPr>
            </w:pP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司法局、</w:t>
            </w: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直各行政执法</w:t>
            </w:r>
            <w:r>
              <w:rPr>
                <w:rFonts w:hint="eastAsia" w:cs="宋体"/>
                <w:b w:val="0"/>
                <w:bCs/>
                <w:spacing w:val="-11"/>
                <w:sz w:val="18"/>
                <w:szCs w:val="18"/>
                <w:lang w:eastAsia="zh-CN"/>
              </w:rPr>
              <w:t>部门</w:t>
            </w:r>
            <w:r>
              <w:rPr>
                <w:rFonts w:hint="eastAsia" w:ascii="宋体" w:hAnsi="宋体" w:eastAsia="宋体" w:cs="宋体"/>
                <w:b w:val="0"/>
                <w:bCs/>
                <w:spacing w:val="-11"/>
                <w:sz w:val="18"/>
                <w:szCs w:val="18"/>
              </w:rPr>
              <w:t>、</w:t>
            </w:r>
            <w:r>
              <w:rPr>
                <w:rFonts w:hint="eastAsia" w:ascii="宋体" w:hAnsi="宋体" w:eastAsia="宋体" w:cs="宋体"/>
                <w:b w:val="0"/>
                <w:bCs/>
                <w:sz w:val="18"/>
                <w:szCs w:val="18"/>
              </w:rPr>
              <w:t>各乡镇按职责分工负责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30" w:type="dxa"/>
            <w:gridSpan w:val="2"/>
            <w:vMerge w:val="continue"/>
            <w:vAlign w:val="center"/>
          </w:tcPr>
          <w:p>
            <w:pPr>
              <w:pStyle w:val="3"/>
              <w:spacing w:before="0" w:beforeAutospacing="0" w:after="0" w:afterAutospacing="0" w:line="240" w:lineRule="exact"/>
              <w:jc w:val="both"/>
              <w:outlineLvl w:val="2"/>
              <w:rPr>
                <w:rFonts w:hint="eastAsia" w:ascii="宋体" w:hAnsi="宋体" w:eastAsia="宋体" w:cs="宋体"/>
                <w:b w:val="0"/>
                <w:bCs/>
                <w:sz w:val="18"/>
                <w:szCs w:val="18"/>
              </w:rPr>
            </w:pPr>
          </w:p>
        </w:tc>
        <w:tc>
          <w:tcPr>
            <w:tcW w:w="1167" w:type="dxa"/>
            <w:gridSpan w:val="3"/>
            <w:vMerge w:val="continue"/>
            <w:vAlign w:val="center"/>
          </w:tcPr>
          <w:p>
            <w:pPr>
              <w:pStyle w:val="3"/>
              <w:keepNext w:val="0"/>
              <w:keepLines w:val="0"/>
              <w:pageBreakBefore w:val="0"/>
              <w:widowControl w:val="0"/>
              <w:wordWrap/>
              <w:overflowPunct/>
              <w:autoSpaceDE w:val="0"/>
              <w:autoSpaceDN w:val="0"/>
              <w:bidi w:val="0"/>
              <w:adjustRightInd/>
              <w:snapToGrid/>
              <w:spacing w:before="0" w:beforeAutospacing="0" w:after="0" w:afterAutospacing="0" w:line="280" w:lineRule="exact"/>
              <w:textAlignment w:val="baseline"/>
              <w:outlineLvl w:val="2"/>
              <w:rPr>
                <w:rFonts w:hint="eastAsia" w:ascii="宋体" w:hAnsi="宋体" w:eastAsia="宋体" w:cs="宋体"/>
                <w:b w:val="0"/>
                <w:bCs/>
                <w:sz w:val="18"/>
                <w:szCs w:val="18"/>
              </w:rPr>
            </w:pPr>
          </w:p>
        </w:tc>
        <w:tc>
          <w:tcPr>
            <w:tcW w:w="1411" w:type="dxa"/>
            <w:vAlign w:val="center"/>
          </w:tcPr>
          <w:p>
            <w:pPr>
              <w:pStyle w:val="3"/>
              <w:keepNext w:val="0"/>
              <w:keepLines w:val="0"/>
              <w:pageBreakBefore w:val="0"/>
              <w:widowControl w:val="0"/>
              <w:wordWrap/>
              <w:overflow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（2）突出政治培训</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运用政治轮训、专题党课、辅导讲座、研讨交流等多种方式，深入学习党的二十大精神、习近平法治思想、中国特色社会主义法治理论等，持续提升做好行政执法工作的政治素质和能力本领。</w:t>
            </w:r>
          </w:p>
        </w:tc>
        <w:tc>
          <w:tcPr>
            <w:tcW w:w="794" w:type="dxa"/>
            <w:vMerge w:val="continue"/>
            <w:vAlign w:val="center"/>
          </w:tcPr>
          <w:p>
            <w:pPr>
              <w:pStyle w:val="3"/>
              <w:spacing w:before="0" w:beforeAutospacing="0" w:after="0" w:afterAutospacing="0" w:line="240" w:lineRule="exact"/>
              <w:jc w:val="both"/>
              <w:outlineLvl w:val="2"/>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30" w:type="dxa"/>
            <w:gridSpan w:val="2"/>
            <w:vMerge w:val="continue"/>
            <w:vAlign w:val="center"/>
          </w:tcPr>
          <w:p>
            <w:pPr>
              <w:pStyle w:val="3"/>
              <w:spacing w:before="0" w:beforeAutospacing="0" w:after="0" w:afterAutospacing="0" w:line="240" w:lineRule="exact"/>
              <w:jc w:val="both"/>
              <w:outlineLvl w:val="2"/>
              <w:rPr>
                <w:rFonts w:hint="eastAsia" w:ascii="宋体" w:hAnsi="宋体" w:eastAsia="宋体" w:cs="宋体"/>
                <w:b w:val="0"/>
                <w:bCs/>
                <w:sz w:val="18"/>
                <w:szCs w:val="18"/>
              </w:rPr>
            </w:pPr>
          </w:p>
        </w:tc>
        <w:tc>
          <w:tcPr>
            <w:tcW w:w="1167" w:type="dxa"/>
            <w:gridSpan w:val="3"/>
            <w:vMerge w:val="restart"/>
            <w:vAlign w:val="center"/>
          </w:tcPr>
          <w:p>
            <w:pPr>
              <w:pStyle w:val="3"/>
              <w:keepNext w:val="0"/>
              <w:keepLines w:val="0"/>
              <w:pageBreakBefore w:val="0"/>
              <w:widowControl w:val="0"/>
              <w:numPr>
                <w:ilvl w:val="0"/>
                <w:numId w:val="1"/>
              </w:numPr>
              <w:wordWrap/>
              <w:overflowPunct/>
              <w:autoSpaceDE w:val="0"/>
              <w:autoSpaceDN w:val="0"/>
              <w:bidi w:val="0"/>
              <w:adjustRightInd/>
              <w:snapToGrid/>
              <w:spacing w:before="0" w:beforeAutospacing="0" w:after="0" w:afterAutospacing="0" w:line="280" w:lineRule="exact"/>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大力提升法治能力</w:t>
            </w:r>
          </w:p>
        </w:tc>
        <w:tc>
          <w:tcPr>
            <w:tcW w:w="1411" w:type="dxa"/>
            <w:vAlign w:val="center"/>
          </w:tcPr>
          <w:p>
            <w:pPr>
              <w:pStyle w:val="3"/>
              <w:keepNext w:val="0"/>
              <w:keepLines w:val="0"/>
              <w:pageBreakBefore w:val="0"/>
              <w:widowControl w:val="0"/>
              <w:wordWrap/>
              <w:overflow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（3）推进公共法律知识培训</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司法局要牵头具体运用“线上+线下”方式组织全</w:t>
            </w: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行政执法人员公共法律知识培训。</w:t>
            </w:r>
          </w:p>
        </w:tc>
        <w:tc>
          <w:tcPr>
            <w:tcW w:w="794" w:type="dxa"/>
            <w:vMerge w:val="continue"/>
            <w:vAlign w:val="center"/>
          </w:tcPr>
          <w:p>
            <w:pPr>
              <w:pStyle w:val="3"/>
              <w:spacing w:before="0" w:beforeAutospacing="0" w:after="0" w:afterAutospacing="0" w:line="240" w:lineRule="exact"/>
              <w:jc w:val="both"/>
              <w:outlineLvl w:val="2"/>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30" w:type="dxa"/>
            <w:gridSpan w:val="2"/>
            <w:vMerge w:val="continue"/>
            <w:vAlign w:val="center"/>
          </w:tcPr>
          <w:p>
            <w:pPr>
              <w:pStyle w:val="3"/>
              <w:spacing w:before="0" w:beforeAutospacing="0" w:after="0" w:afterAutospacing="0" w:line="240" w:lineRule="exact"/>
              <w:jc w:val="both"/>
              <w:outlineLvl w:val="2"/>
              <w:rPr>
                <w:rFonts w:hint="eastAsia" w:ascii="宋体" w:hAnsi="宋体" w:eastAsia="宋体" w:cs="宋体"/>
                <w:b w:val="0"/>
                <w:bCs/>
                <w:sz w:val="18"/>
                <w:szCs w:val="18"/>
              </w:rPr>
            </w:pPr>
          </w:p>
        </w:tc>
        <w:tc>
          <w:tcPr>
            <w:tcW w:w="1167" w:type="dxa"/>
            <w:gridSpan w:val="3"/>
            <w:vMerge w:val="continue"/>
            <w:vAlign w:val="center"/>
          </w:tcPr>
          <w:p>
            <w:pPr>
              <w:pStyle w:val="3"/>
              <w:keepNext w:val="0"/>
              <w:keepLines w:val="0"/>
              <w:pageBreakBefore w:val="0"/>
              <w:widowControl w:val="0"/>
              <w:wordWrap/>
              <w:overflowPunct/>
              <w:autoSpaceDE w:val="0"/>
              <w:autoSpaceDN w:val="0"/>
              <w:bidi w:val="0"/>
              <w:adjustRightInd/>
              <w:snapToGrid/>
              <w:spacing w:before="0" w:beforeAutospacing="0" w:after="0" w:afterAutospacing="0" w:line="280" w:lineRule="exact"/>
              <w:textAlignment w:val="baseline"/>
              <w:outlineLvl w:val="2"/>
              <w:rPr>
                <w:rFonts w:hint="eastAsia" w:ascii="宋体" w:hAnsi="宋体" w:eastAsia="宋体" w:cs="宋体"/>
                <w:b w:val="0"/>
                <w:bCs/>
                <w:sz w:val="18"/>
                <w:szCs w:val="18"/>
              </w:rPr>
            </w:pPr>
          </w:p>
        </w:tc>
        <w:tc>
          <w:tcPr>
            <w:tcW w:w="1411" w:type="dxa"/>
            <w:vAlign w:val="center"/>
          </w:tcPr>
          <w:p>
            <w:pPr>
              <w:pStyle w:val="3"/>
              <w:keepNext w:val="0"/>
              <w:keepLines w:val="0"/>
              <w:pageBreakBefore w:val="0"/>
              <w:widowControl w:val="0"/>
              <w:wordWrap/>
              <w:overflow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（4）明确培训必修内容</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要将《行动计划》《实施方案》列为行政执法人员培训的必修内容，切实提升行政执法人员运用法治思维和法治方式开展执法、维护稳定、化解矛盾的能力。</w:t>
            </w:r>
          </w:p>
        </w:tc>
        <w:tc>
          <w:tcPr>
            <w:tcW w:w="794" w:type="dxa"/>
            <w:vMerge w:val="continue"/>
            <w:vAlign w:val="center"/>
          </w:tcPr>
          <w:p>
            <w:pPr>
              <w:pStyle w:val="3"/>
              <w:spacing w:before="0" w:beforeAutospacing="0" w:after="0" w:afterAutospacing="0" w:line="240" w:lineRule="exact"/>
              <w:jc w:val="both"/>
              <w:outlineLvl w:val="2"/>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730" w:type="dxa"/>
            <w:gridSpan w:val="2"/>
            <w:vMerge w:val="continue"/>
            <w:vAlign w:val="center"/>
          </w:tcPr>
          <w:p>
            <w:pPr>
              <w:pStyle w:val="3"/>
              <w:spacing w:before="0" w:beforeAutospacing="0" w:after="0" w:afterAutospacing="0" w:line="240" w:lineRule="exact"/>
              <w:jc w:val="both"/>
              <w:outlineLvl w:val="2"/>
              <w:rPr>
                <w:rFonts w:hint="eastAsia" w:ascii="宋体" w:hAnsi="宋体" w:eastAsia="宋体" w:cs="宋体"/>
                <w:b w:val="0"/>
                <w:bCs/>
                <w:sz w:val="18"/>
                <w:szCs w:val="18"/>
              </w:rPr>
            </w:pPr>
          </w:p>
        </w:tc>
        <w:tc>
          <w:tcPr>
            <w:tcW w:w="1167" w:type="dxa"/>
            <w:gridSpan w:val="3"/>
            <w:vMerge w:val="restart"/>
            <w:vAlign w:val="center"/>
          </w:tcPr>
          <w:p>
            <w:pPr>
              <w:pStyle w:val="3"/>
              <w:keepNext w:val="0"/>
              <w:keepLines w:val="0"/>
              <w:pageBreakBefore w:val="0"/>
              <w:widowControl w:val="0"/>
              <w:numPr>
                <w:ilvl w:val="0"/>
                <w:numId w:val="1"/>
              </w:numPr>
              <w:wordWrap/>
              <w:overflowPunct/>
              <w:autoSpaceDE w:val="0"/>
              <w:autoSpaceDN w:val="0"/>
              <w:bidi w:val="0"/>
              <w:adjustRightInd/>
              <w:snapToGrid/>
              <w:spacing w:before="0" w:beforeAutospacing="0" w:after="0" w:afterAutospacing="0" w:line="280" w:lineRule="exact"/>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全面提高业务能力</w:t>
            </w:r>
          </w:p>
        </w:tc>
        <w:tc>
          <w:tcPr>
            <w:tcW w:w="1411" w:type="dxa"/>
            <w:vAlign w:val="center"/>
          </w:tcPr>
          <w:p>
            <w:pPr>
              <w:pStyle w:val="3"/>
              <w:keepNext w:val="0"/>
              <w:keepLines w:val="0"/>
              <w:pageBreakBefore w:val="0"/>
              <w:widowControl w:val="0"/>
              <w:wordWrap/>
              <w:overflow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（5）开展分类分级分层培训</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直各行政执法</w:t>
            </w:r>
            <w:r>
              <w:rPr>
                <w:rFonts w:hint="eastAsia" w:cs="宋体"/>
                <w:b w:val="0"/>
                <w:bCs/>
                <w:sz w:val="18"/>
                <w:szCs w:val="18"/>
                <w:lang w:eastAsia="zh-CN"/>
              </w:rPr>
              <w:t>部门</w:t>
            </w:r>
            <w:r>
              <w:rPr>
                <w:rFonts w:hint="eastAsia" w:ascii="宋体" w:hAnsi="宋体" w:eastAsia="宋体" w:cs="宋体"/>
                <w:b w:val="0"/>
                <w:bCs/>
                <w:sz w:val="18"/>
                <w:szCs w:val="18"/>
              </w:rPr>
              <w:t>及各乡镇要按照分类分级分层培训</w:t>
            </w:r>
            <w:r>
              <w:rPr>
                <w:rFonts w:hint="eastAsia" w:ascii="宋体" w:hAnsi="宋体" w:eastAsia="宋体" w:cs="宋体"/>
                <w:b w:val="0"/>
                <w:bCs/>
                <w:sz w:val="18"/>
                <w:szCs w:val="18"/>
                <w:lang w:eastAsia="zh-CN"/>
              </w:rPr>
              <w:t>要</w:t>
            </w:r>
            <w:r>
              <w:rPr>
                <w:rFonts w:hint="eastAsia" w:ascii="宋体" w:hAnsi="宋体" w:eastAsia="宋体" w:cs="宋体"/>
                <w:b w:val="0"/>
                <w:bCs/>
                <w:sz w:val="18"/>
                <w:szCs w:val="18"/>
              </w:rPr>
              <w:t>求，组织开展专业法律知识和行政执法技能培训，运用讲授式、研讨式、案例式、情景式、现场示范式等方法，重点围绕本领域法律、法规、规章的实施，以及执法检查、调查取证、文书制作等行政执法技能开展培训。加强执法行为规范和职业道德教育。</w:t>
            </w:r>
          </w:p>
        </w:tc>
        <w:tc>
          <w:tcPr>
            <w:tcW w:w="794" w:type="dxa"/>
            <w:vMerge w:val="continue"/>
            <w:vAlign w:val="center"/>
          </w:tcPr>
          <w:p>
            <w:pPr>
              <w:pStyle w:val="3"/>
              <w:spacing w:before="0" w:beforeAutospacing="0" w:after="0" w:afterAutospacing="0" w:line="240" w:lineRule="exact"/>
              <w:jc w:val="both"/>
              <w:outlineLvl w:val="2"/>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30" w:type="dxa"/>
            <w:gridSpan w:val="2"/>
            <w:vMerge w:val="continue"/>
            <w:vAlign w:val="center"/>
          </w:tcPr>
          <w:p>
            <w:pPr>
              <w:pStyle w:val="3"/>
              <w:spacing w:before="0" w:beforeAutospacing="0" w:after="0" w:afterAutospacing="0" w:line="240" w:lineRule="exact"/>
              <w:jc w:val="both"/>
              <w:outlineLvl w:val="2"/>
              <w:rPr>
                <w:rFonts w:hint="eastAsia" w:ascii="宋体" w:hAnsi="宋体" w:eastAsia="宋体" w:cs="宋体"/>
                <w:b w:val="0"/>
                <w:bCs/>
                <w:sz w:val="18"/>
                <w:szCs w:val="18"/>
              </w:rPr>
            </w:pPr>
          </w:p>
        </w:tc>
        <w:tc>
          <w:tcPr>
            <w:tcW w:w="1167" w:type="dxa"/>
            <w:gridSpan w:val="3"/>
            <w:vMerge w:val="continue"/>
            <w:vAlign w:val="center"/>
          </w:tcPr>
          <w:p>
            <w:pPr>
              <w:pStyle w:val="3"/>
              <w:keepNext w:val="0"/>
              <w:keepLines w:val="0"/>
              <w:pageBreakBefore w:val="0"/>
              <w:widowControl w:val="0"/>
              <w:wordWrap/>
              <w:overflow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p>
        </w:tc>
        <w:tc>
          <w:tcPr>
            <w:tcW w:w="1411" w:type="dxa"/>
            <w:vAlign w:val="center"/>
          </w:tcPr>
          <w:p>
            <w:pPr>
              <w:pStyle w:val="3"/>
              <w:keepNext w:val="0"/>
              <w:keepLines w:val="0"/>
              <w:pageBreakBefore w:val="0"/>
              <w:widowControl w:val="0"/>
              <w:wordWrap/>
              <w:overflow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（6）加强培训业务指导</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直各行政执法</w:t>
            </w:r>
            <w:r>
              <w:rPr>
                <w:rFonts w:hint="eastAsia" w:cs="宋体"/>
                <w:b w:val="0"/>
                <w:bCs/>
                <w:sz w:val="18"/>
                <w:szCs w:val="18"/>
                <w:lang w:eastAsia="zh-CN"/>
              </w:rPr>
              <w:t>部门</w:t>
            </w:r>
            <w:r>
              <w:rPr>
                <w:rFonts w:hint="eastAsia" w:ascii="宋体" w:hAnsi="宋体" w:eastAsia="宋体" w:cs="宋体"/>
                <w:b w:val="0"/>
                <w:bCs/>
                <w:sz w:val="18"/>
                <w:szCs w:val="18"/>
              </w:rPr>
              <w:t>要加强各乡镇行政执法业务培训，鼓励跨部门联合开展培训。</w:t>
            </w:r>
          </w:p>
        </w:tc>
        <w:tc>
          <w:tcPr>
            <w:tcW w:w="794" w:type="dxa"/>
            <w:vMerge w:val="continue"/>
            <w:vAlign w:val="center"/>
          </w:tcPr>
          <w:p>
            <w:pPr>
              <w:pStyle w:val="3"/>
              <w:spacing w:before="0" w:beforeAutospacing="0" w:after="0" w:afterAutospacing="0" w:line="240" w:lineRule="exact"/>
              <w:jc w:val="both"/>
              <w:outlineLvl w:val="2"/>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30" w:type="dxa"/>
            <w:gridSpan w:val="2"/>
            <w:vMerge w:val="continue"/>
            <w:vAlign w:val="center"/>
          </w:tcPr>
          <w:p>
            <w:pPr>
              <w:pStyle w:val="3"/>
              <w:spacing w:before="0" w:beforeAutospacing="0" w:after="0" w:afterAutospacing="0" w:line="240" w:lineRule="exact"/>
              <w:jc w:val="both"/>
              <w:outlineLvl w:val="2"/>
              <w:rPr>
                <w:rFonts w:hint="eastAsia" w:ascii="宋体" w:hAnsi="宋体" w:eastAsia="宋体" w:cs="宋体"/>
                <w:b w:val="0"/>
                <w:bCs/>
                <w:sz w:val="18"/>
                <w:szCs w:val="18"/>
              </w:rPr>
            </w:pPr>
          </w:p>
        </w:tc>
        <w:tc>
          <w:tcPr>
            <w:tcW w:w="1167" w:type="dxa"/>
            <w:gridSpan w:val="3"/>
            <w:vMerge w:val="continue"/>
            <w:vAlign w:val="center"/>
          </w:tcPr>
          <w:p>
            <w:pPr>
              <w:pStyle w:val="3"/>
              <w:keepNext w:val="0"/>
              <w:keepLines w:val="0"/>
              <w:pageBreakBefore w:val="0"/>
              <w:widowControl w:val="0"/>
              <w:wordWrap/>
              <w:overflow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p>
        </w:tc>
        <w:tc>
          <w:tcPr>
            <w:tcW w:w="1411" w:type="dxa"/>
            <w:vAlign w:val="center"/>
          </w:tcPr>
          <w:p>
            <w:pPr>
              <w:pStyle w:val="3"/>
              <w:keepNext w:val="0"/>
              <w:keepLines w:val="0"/>
              <w:pageBreakBefore w:val="0"/>
              <w:widowControl w:val="0"/>
              <w:wordWrap/>
              <w:overflow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（7）严格培训学时要求</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直各行政执法</w:t>
            </w:r>
            <w:r>
              <w:rPr>
                <w:rFonts w:hint="eastAsia" w:cs="宋体"/>
                <w:b w:val="0"/>
                <w:bCs/>
                <w:sz w:val="18"/>
                <w:szCs w:val="18"/>
                <w:lang w:eastAsia="zh-CN"/>
              </w:rPr>
              <w:t>部门</w:t>
            </w:r>
            <w:r>
              <w:rPr>
                <w:rFonts w:hint="eastAsia" w:ascii="宋体" w:hAnsi="宋体" w:eastAsia="宋体" w:cs="宋体"/>
                <w:b w:val="0"/>
                <w:bCs/>
                <w:sz w:val="18"/>
                <w:szCs w:val="18"/>
              </w:rPr>
              <w:t>及各乡镇在完成政治理论教育和党性教育学时的基础上，确保行政执法人员每人每年接受不少于60学时的培训，其中公共法律知识培训不少于30学时，业务知识和行政执法技能培训不少于30学时。</w:t>
            </w:r>
          </w:p>
        </w:tc>
        <w:tc>
          <w:tcPr>
            <w:tcW w:w="794" w:type="dxa"/>
            <w:vMerge w:val="continue"/>
            <w:vAlign w:val="center"/>
          </w:tcPr>
          <w:p>
            <w:pPr>
              <w:pStyle w:val="3"/>
              <w:spacing w:before="0" w:beforeAutospacing="0" w:after="0" w:afterAutospacing="0" w:line="240" w:lineRule="exact"/>
              <w:jc w:val="both"/>
              <w:outlineLvl w:val="2"/>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730" w:type="dxa"/>
            <w:gridSpan w:val="2"/>
            <w:vMerge w:val="continue"/>
            <w:vAlign w:val="center"/>
          </w:tcPr>
          <w:p>
            <w:pPr>
              <w:pStyle w:val="3"/>
              <w:spacing w:before="0" w:beforeAutospacing="0" w:after="0" w:afterAutospacing="0" w:line="240" w:lineRule="exact"/>
              <w:jc w:val="both"/>
              <w:outlineLvl w:val="2"/>
              <w:rPr>
                <w:rFonts w:hint="eastAsia" w:ascii="宋体" w:hAnsi="宋体" w:eastAsia="宋体" w:cs="宋体"/>
                <w:b w:val="0"/>
                <w:bCs/>
                <w:sz w:val="18"/>
                <w:szCs w:val="18"/>
              </w:rPr>
            </w:pPr>
          </w:p>
        </w:tc>
        <w:tc>
          <w:tcPr>
            <w:tcW w:w="1167" w:type="dxa"/>
            <w:gridSpan w:val="3"/>
            <w:vMerge w:val="continue"/>
            <w:vAlign w:val="center"/>
          </w:tcPr>
          <w:p>
            <w:pPr>
              <w:pStyle w:val="3"/>
              <w:keepNext w:val="0"/>
              <w:keepLines w:val="0"/>
              <w:pageBreakBefore w:val="0"/>
              <w:widowControl w:val="0"/>
              <w:wordWrap/>
              <w:overflow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p>
        </w:tc>
        <w:tc>
          <w:tcPr>
            <w:tcW w:w="1411" w:type="dxa"/>
            <w:vAlign w:val="center"/>
          </w:tcPr>
          <w:p>
            <w:pPr>
              <w:pStyle w:val="3"/>
              <w:keepNext w:val="0"/>
              <w:keepLines w:val="0"/>
              <w:pageBreakBefore w:val="0"/>
              <w:widowControl w:val="0"/>
              <w:wordWrap/>
              <w:overflow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（8）组织实施全员轮训</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原则上于2024年6月底前完成对全</w:t>
            </w: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行政执法队伍的全员轮训。</w:t>
            </w: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司法局要加强对行政执法培训的统筹指导和监督考核。</w:t>
            </w:r>
          </w:p>
        </w:tc>
        <w:tc>
          <w:tcPr>
            <w:tcW w:w="794" w:type="dxa"/>
            <w:vMerge w:val="continue"/>
            <w:vAlign w:val="center"/>
          </w:tcPr>
          <w:p>
            <w:pPr>
              <w:pStyle w:val="3"/>
              <w:spacing w:before="0" w:beforeAutospacing="0" w:after="0" w:afterAutospacing="0" w:line="240" w:lineRule="exact"/>
              <w:jc w:val="both"/>
              <w:outlineLvl w:val="2"/>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8" w:type="dxa"/>
            <w:gridSpan w:val="6"/>
            <w:vAlign w:val="center"/>
          </w:tcPr>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工作任务</w:t>
            </w:r>
          </w:p>
        </w:tc>
        <w:tc>
          <w:tcPr>
            <w:tcW w:w="4736" w:type="dxa"/>
            <w:vMerge w:val="restart"/>
            <w:vAlign w:val="center"/>
          </w:tcPr>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lang w:eastAsia="zh-CN"/>
              </w:rPr>
              <w:t>县</w:t>
            </w:r>
            <w:r>
              <w:rPr>
                <w:rFonts w:hint="eastAsia" w:ascii="黑体" w:hAnsi="黑体" w:eastAsia="黑体" w:cs="黑体"/>
                <w:b w:val="0"/>
                <w:bCs/>
                <w:sz w:val="18"/>
                <w:szCs w:val="18"/>
              </w:rPr>
              <w:t>级具体举措</w:t>
            </w:r>
          </w:p>
        </w:tc>
        <w:tc>
          <w:tcPr>
            <w:tcW w:w="794" w:type="dxa"/>
            <w:vMerge w:val="restart"/>
            <w:vAlign w:val="center"/>
          </w:tcPr>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责任</w:t>
            </w:r>
          </w:p>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60" w:type="dxa"/>
            <w:vAlign w:val="center"/>
          </w:tcPr>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任务</w:t>
            </w:r>
          </w:p>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分类</w:t>
            </w:r>
          </w:p>
        </w:tc>
        <w:tc>
          <w:tcPr>
            <w:tcW w:w="1224" w:type="dxa"/>
            <w:gridSpan w:val="3"/>
            <w:vAlign w:val="center"/>
          </w:tcPr>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省级指标</w:t>
            </w:r>
          </w:p>
        </w:tc>
        <w:tc>
          <w:tcPr>
            <w:tcW w:w="1424" w:type="dxa"/>
            <w:gridSpan w:val="2"/>
            <w:vAlign w:val="center"/>
          </w:tcPr>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市级指标</w:t>
            </w:r>
          </w:p>
        </w:tc>
        <w:tc>
          <w:tcPr>
            <w:tcW w:w="4736" w:type="dxa"/>
            <w:vMerge w:val="continue"/>
            <w:vAlign w:val="center"/>
          </w:tcPr>
          <w:p>
            <w:pPr>
              <w:pStyle w:val="3"/>
              <w:spacing w:before="0" w:beforeAutospacing="0" w:after="0" w:afterAutospacing="0" w:line="240" w:lineRule="exact"/>
              <w:jc w:val="both"/>
              <w:outlineLvl w:val="2"/>
              <w:rPr>
                <w:rFonts w:hint="default" w:cs="宋体"/>
                <w:sz w:val="18"/>
                <w:szCs w:val="18"/>
              </w:rPr>
            </w:pPr>
          </w:p>
        </w:tc>
        <w:tc>
          <w:tcPr>
            <w:tcW w:w="794" w:type="dxa"/>
            <w:vMerge w:val="continue"/>
            <w:vAlign w:val="center"/>
          </w:tcPr>
          <w:p>
            <w:pPr>
              <w:pStyle w:val="3"/>
              <w:spacing w:before="0" w:beforeAutospacing="0" w:after="0" w:afterAutospacing="0" w:line="240" w:lineRule="exact"/>
              <w:jc w:val="both"/>
              <w:outlineLvl w:val="2"/>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660" w:type="dxa"/>
            <w:vMerge w:val="restart"/>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center"/>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二、推进严格规范公正文明执法</w:t>
            </w:r>
          </w:p>
        </w:tc>
        <w:tc>
          <w:tcPr>
            <w:tcW w:w="1224" w:type="dxa"/>
            <w:gridSpan w:val="3"/>
            <w:vMerge w:val="restart"/>
            <w:vAlign w:val="center"/>
          </w:tcPr>
          <w:p>
            <w:pPr>
              <w:pStyle w:val="3"/>
              <w:keepNext w:val="0"/>
              <w:keepLines w:val="0"/>
              <w:pageBreakBefore w:val="0"/>
              <w:widowControl w:val="0"/>
              <w:numPr>
                <w:ilvl w:val="0"/>
                <w:numId w:val="2"/>
              </w:numPr>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切实加强执法人员资格管理</w:t>
            </w: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（9）严格落实行政执法人员资格管理和持证上岗制度</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行政执法人员应当参加执法培训且通过行政执法资格考试，考试合格并取得行政执法证件后方可上岗执法，严禁未取得证件的人员独立从事行政执法工作。人民警察证件</w:t>
            </w:r>
            <w:r>
              <w:rPr>
                <w:rFonts w:hint="eastAsia" w:ascii="宋体" w:hAnsi="宋体" w:eastAsia="宋体" w:cs="宋体"/>
                <w:b w:val="0"/>
                <w:bCs/>
                <w:spacing w:val="-6"/>
                <w:sz w:val="18"/>
                <w:szCs w:val="18"/>
              </w:rPr>
              <w:t>的管理使用按照《中华人民共和国人民警察法》的规定执行。</w:t>
            </w:r>
          </w:p>
        </w:tc>
        <w:tc>
          <w:tcPr>
            <w:tcW w:w="794" w:type="dxa"/>
            <w:vMerge w:val="restart"/>
            <w:vAlign w:val="center"/>
          </w:tcPr>
          <w:p>
            <w:pPr>
              <w:pStyle w:val="3"/>
              <w:spacing w:before="0" w:beforeAutospacing="0" w:after="0" w:afterAutospacing="0" w:line="240" w:lineRule="exact"/>
              <w:jc w:val="both"/>
              <w:outlineLvl w:val="2"/>
              <w:rPr>
                <w:rFonts w:hint="default" w:cs="宋体"/>
                <w:sz w:val="18"/>
                <w:szCs w:val="18"/>
              </w:rPr>
            </w:pP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司法局、</w:t>
            </w: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直各行政执法</w:t>
            </w:r>
            <w:r>
              <w:rPr>
                <w:rFonts w:hint="eastAsia" w:cs="宋体"/>
                <w:b w:val="0"/>
                <w:bCs/>
                <w:spacing w:val="-11"/>
                <w:sz w:val="18"/>
                <w:szCs w:val="18"/>
                <w:lang w:eastAsia="zh-CN"/>
              </w:rPr>
              <w:t>部门</w:t>
            </w:r>
            <w:r>
              <w:rPr>
                <w:rFonts w:hint="eastAsia" w:ascii="宋体" w:hAnsi="宋体" w:eastAsia="宋体" w:cs="宋体"/>
                <w:b w:val="0"/>
                <w:bCs/>
                <w:spacing w:val="-11"/>
                <w:sz w:val="18"/>
                <w:szCs w:val="18"/>
              </w:rPr>
              <w:t>、</w:t>
            </w:r>
            <w:r>
              <w:rPr>
                <w:rFonts w:hint="eastAsia" w:ascii="宋体" w:hAnsi="宋体" w:eastAsia="宋体" w:cs="宋体"/>
                <w:b w:val="0"/>
                <w:bCs/>
                <w:sz w:val="18"/>
                <w:szCs w:val="18"/>
              </w:rPr>
              <w:t>各乡镇按职责分工负责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60" w:type="dxa"/>
            <w:vMerge w:val="continue"/>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p>
        </w:tc>
        <w:tc>
          <w:tcPr>
            <w:tcW w:w="1224" w:type="dxa"/>
            <w:gridSpan w:val="3"/>
            <w:vMerge w:val="continue"/>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（10）建立健全行政执法人员退出机制</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行政执法人员因调动、辞职、辞退、退休或其他原因离开执法岗位的，要依法及时收回并注销行政执法证件。</w:t>
            </w:r>
          </w:p>
        </w:tc>
        <w:tc>
          <w:tcPr>
            <w:tcW w:w="794" w:type="dxa"/>
            <w:vMerge w:val="continue"/>
            <w:vAlign w:val="center"/>
          </w:tcPr>
          <w:p>
            <w:pPr>
              <w:pStyle w:val="3"/>
              <w:spacing w:before="0" w:beforeAutospacing="0" w:after="0" w:afterAutospacing="0" w:line="240" w:lineRule="exact"/>
              <w:jc w:val="both"/>
              <w:outlineLvl w:val="2"/>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60" w:type="dxa"/>
            <w:vMerge w:val="continue"/>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p>
        </w:tc>
        <w:tc>
          <w:tcPr>
            <w:tcW w:w="1224" w:type="dxa"/>
            <w:gridSpan w:val="3"/>
            <w:vMerge w:val="continue"/>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（11）杜绝不符合要求人员违规申领、使用行政执法证件</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坚决杜绝不符合执法要求的人员违规申领、使用行政执法证件</w:t>
            </w:r>
            <w:r>
              <w:rPr>
                <w:rFonts w:hint="eastAsia" w:cs="宋体"/>
                <w:b w:val="0"/>
                <w:bCs/>
                <w:sz w:val="18"/>
                <w:szCs w:val="18"/>
                <w:lang w:eastAsia="zh-CN"/>
              </w:rPr>
              <w:t>，</w:t>
            </w:r>
            <w:r>
              <w:rPr>
                <w:rFonts w:hint="eastAsia" w:ascii="宋体" w:hAnsi="宋体" w:eastAsia="宋体" w:cs="宋体"/>
                <w:b w:val="0"/>
                <w:bCs/>
                <w:sz w:val="18"/>
                <w:szCs w:val="18"/>
              </w:rPr>
              <w:t>一经发现，要主动收回并注销行政执法证件。</w:t>
            </w:r>
          </w:p>
        </w:tc>
        <w:tc>
          <w:tcPr>
            <w:tcW w:w="794" w:type="dxa"/>
            <w:vMerge w:val="continue"/>
            <w:vAlign w:val="center"/>
          </w:tcPr>
          <w:p>
            <w:pPr>
              <w:pStyle w:val="3"/>
              <w:spacing w:before="0" w:beforeAutospacing="0" w:after="0" w:afterAutospacing="0" w:line="240" w:lineRule="exact"/>
              <w:jc w:val="both"/>
              <w:outlineLvl w:val="2"/>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60" w:type="dxa"/>
            <w:vMerge w:val="continue"/>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p>
        </w:tc>
        <w:tc>
          <w:tcPr>
            <w:tcW w:w="1224" w:type="dxa"/>
            <w:gridSpan w:val="3"/>
            <w:vMerge w:val="continue"/>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（12）建立健全行政执法人员年度考核制度</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落实行政执法岗位责任制，强化行政执法人员考核结果运用，将日常管理和年度考核结果作为行政执法干部培养、职级晋升、奖惩的重要依据。</w:t>
            </w:r>
          </w:p>
        </w:tc>
        <w:tc>
          <w:tcPr>
            <w:tcW w:w="794" w:type="dxa"/>
            <w:vMerge w:val="continue"/>
            <w:vAlign w:val="center"/>
          </w:tcPr>
          <w:p>
            <w:pPr>
              <w:pStyle w:val="3"/>
              <w:spacing w:before="0" w:beforeAutospacing="0" w:after="0" w:afterAutospacing="0" w:line="240" w:lineRule="exact"/>
              <w:jc w:val="both"/>
              <w:outlineLvl w:val="2"/>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660" w:type="dxa"/>
            <w:vMerge w:val="continue"/>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p>
        </w:tc>
        <w:tc>
          <w:tcPr>
            <w:tcW w:w="1224" w:type="dxa"/>
            <w:gridSpan w:val="3"/>
            <w:vAlign w:val="center"/>
          </w:tcPr>
          <w:p>
            <w:pPr>
              <w:pStyle w:val="3"/>
              <w:keepNext w:val="0"/>
              <w:keepLines w:val="0"/>
              <w:pageBreakBefore w:val="0"/>
              <w:widowControl w:val="0"/>
              <w:numPr>
                <w:ilvl w:val="0"/>
                <w:numId w:val="2"/>
              </w:numPr>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强力整治行政执法突出问题</w:t>
            </w: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（13）强力整治行政执法突出问题</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直各行政执法</w:t>
            </w:r>
            <w:r>
              <w:rPr>
                <w:rFonts w:hint="eastAsia" w:cs="宋体"/>
                <w:b w:val="0"/>
                <w:bCs/>
                <w:sz w:val="18"/>
                <w:szCs w:val="18"/>
                <w:lang w:eastAsia="zh-CN"/>
              </w:rPr>
              <w:t>部门</w:t>
            </w:r>
            <w:r>
              <w:rPr>
                <w:rFonts w:hint="eastAsia" w:ascii="宋体" w:hAnsi="宋体" w:eastAsia="宋体" w:cs="宋体"/>
                <w:b w:val="0"/>
                <w:bCs/>
                <w:sz w:val="18"/>
                <w:szCs w:val="18"/>
              </w:rPr>
              <w:t>及各乡镇要聚焦关系人民群众切身利益的重点执法领域，对照省、市行政执法</w:t>
            </w:r>
            <w:r>
              <w:rPr>
                <w:rFonts w:hint="eastAsia" w:cs="宋体"/>
                <w:b w:val="0"/>
                <w:bCs/>
                <w:sz w:val="18"/>
                <w:szCs w:val="18"/>
                <w:lang w:eastAsia="zh-CN"/>
              </w:rPr>
              <w:t>部门</w:t>
            </w:r>
            <w:r>
              <w:rPr>
                <w:rFonts w:hint="eastAsia" w:ascii="宋体" w:hAnsi="宋体" w:eastAsia="宋体" w:cs="宋体"/>
                <w:b w:val="0"/>
                <w:bCs/>
                <w:sz w:val="18"/>
                <w:szCs w:val="18"/>
              </w:rPr>
              <w:t>制定的本领域行政执法突出问题清单，组织开展专项整治行动，编制本</w:t>
            </w:r>
            <w:r>
              <w:rPr>
                <w:rFonts w:hint="eastAsia" w:cs="宋体"/>
                <w:b w:val="0"/>
                <w:bCs/>
                <w:sz w:val="18"/>
                <w:szCs w:val="18"/>
                <w:lang w:eastAsia="zh-CN"/>
              </w:rPr>
              <w:t>单位</w:t>
            </w:r>
            <w:r>
              <w:rPr>
                <w:rFonts w:hint="eastAsia" w:ascii="宋体" w:hAnsi="宋体" w:eastAsia="宋体" w:cs="宋体"/>
                <w:b w:val="0"/>
                <w:bCs/>
                <w:sz w:val="18"/>
                <w:szCs w:val="18"/>
              </w:rPr>
              <w:t>具体的问题清单，明确整治措施、整改时限、责任机构等，形成专项整治台账</w:t>
            </w:r>
            <w:r>
              <w:rPr>
                <w:rFonts w:hint="eastAsia" w:cs="宋体"/>
                <w:b w:val="0"/>
                <w:bCs/>
                <w:sz w:val="18"/>
                <w:szCs w:val="18"/>
                <w:lang w:eastAsia="zh-CN"/>
              </w:rPr>
              <w:t>，</w:t>
            </w:r>
            <w:r>
              <w:rPr>
                <w:rFonts w:hint="eastAsia" w:ascii="宋体" w:hAnsi="宋体" w:eastAsia="宋体" w:cs="宋体"/>
                <w:b w:val="0"/>
                <w:bCs/>
                <w:sz w:val="18"/>
                <w:szCs w:val="18"/>
              </w:rPr>
              <w:t>并将本单位专项整治情况及时报送</w:t>
            </w:r>
            <w:r>
              <w:rPr>
                <w:rFonts w:hint="eastAsia" w:cs="宋体"/>
                <w:b w:val="0"/>
                <w:bCs/>
                <w:sz w:val="18"/>
                <w:szCs w:val="18"/>
                <w:lang w:eastAsia="zh-CN"/>
              </w:rPr>
              <w:t>县</w:t>
            </w:r>
            <w:r>
              <w:rPr>
                <w:rFonts w:hint="eastAsia" w:ascii="宋体" w:hAnsi="宋体" w:eastAsia="宋体" w:cs="宋体"/>
                <w:b w:val="0"/>
                <w:bCs/>
                <w:sz w:val="18"/>
                <w:szCs w:val="18"/>
              </w:rPr>
              <w:t>司法局汇总。</w:t>
            </w:r>
          </w:p>
        </w:tc>
        <w:tc>
          <w:tcPr>
            <w:tcW w:w="794" w:type="dxa"/>
            <w:vMerge w:val="continue"/>
            <w:vAlign w:val="center"/>
          </w:tcPr>
          <w:p>
            <w:pPr>
              <w:pStyle w:val="3"/>
              <w:spacing w:before="0" w:beforeAutospacing="0" w:after="0" w:afterAutospacing="0" w:line="240" w:lineRule="exact"/>
              <w:jc w:val="both"/>
              <w:outlineLvl w:val="2"/>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660" w:type="dxa"/>
            <w:vMerge w:val="continue"/>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p>
        </w:tc>
        <w:tc>
          <w:tcPr>
            <w:tcW w:w="1224" w:type="dxa"/>
            <w:gridSpan w:val="3"/>
            <w:vMerge w:val="restart"/>
            <w:vAlign w:val="center"/>
          </w:tcPr>
          <w:p>
            <w:pPr>
              <w:pStyle w:val="3"/>
              <w:keepNext w:val="0"/>
              <w:keepLines w:val="0"/>
              <w:pageBreakBefore w:val="0"/>
              <w:widowControl w:val="0"/>
              <w:numPr>
                <w:ilvl w:val="0"/>
                <w:numId w:val="2"/>
              </w:numPr>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落实行政执法裁量基准制度</w:t>
            </w: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（14）严格规范行政裁量权基准制定</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直各行政执法</w:t>
            </w:r>
            <w:r>
              <w:rPr>
                <w:rFonts w:hint="eastAsia" w:cs="宋体"/>
                <w:b w:val="0"/>
                <w:bCs/>
                <w:sz w:val="18"/>
                <w:szCs w:val="18"/>
                <w:lang w:eastAsia="zh-CN"/>
              </w:rPr>
              <w:t>部门</w:t>
            </w:r>
            <w:r>
              <w:rPr>
                <w:rFonts w:hint="eastAsia" w:ascii="宋体" w:hAnsi="宋体" w:eastAsia="宋体" w:cs="宋体"/>
                <w:b w:val="0"/>
                <w:bCs/>
                <w:sz w:val="18"/>
                <w:szCs w:val="18"/>
              </w:rPr>
              <w:t>要按照《山西省规范行政执法裁量权办法》的规定，细化量化本领域行政执法的裁量范围、种类、幅度等，及时动态调整和公示，并在行政执法活动中规范行使行政执法裁量权。乡镇直接适用上级行政机关制定的行政裁量权基准，不得自行制定行政裁量权基准。</w:t>
            </w:r>
          </w:p>
        </w:tc>
        <w:tc>
          <w:tcPr>
            <w:tcW w:w="794" w:type="dxa"/>
            <w:vMerge w:val="continue"/>
            <w:vAlign w:val="center"/>
          </w:tcPr>
          <w:p>
            <w:pPr>
              <w:pStyle w:val="3"/>
              <w:spacing w:before="0" w:beforeAutospacing="0" w:after="0" w:afterAutospacing="0" w:line="240" w:lineRule="exact"/>
              <w:jc w:val="both"/>
              <w:outlineLvl w:val="2"/>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60" w:type="dxa"/>
            <w:vMerge w:val="continue"/>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p>
        </w:tc>
        <w:tc>
          <w:tcPr>
            <w:tcW w:w="1224" w:type="dxa"/>
            <w:gridSpan w:val="3"/>
            <w:vMerge w:val="continue"/>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（15）推广包容免罚模式</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直各行政执法</w:t>
            </w:r>
            <w:r>
              <w:rPr>
                <w:rFonts w:hint="eastAsia" w:cs="宋体"/>
                <w:b w:val="0"/>
                <w:bCs/>
                <w:sz w:val="18"/>
                <w:szCs w:val="18"/>
                <w:lang w:eastAsia="zh-CN"/>
              </w:rPr>
              <w:t>部门</w:t>
            </w:r>
            <w:r>
              <w:rPr>
                <w:rFonts w:hint="eastAsia" w:ascii="宋体" w:hAnsi="宋体" w:eastAsia="宋体" w:cs="宋体"/>
                <w:b w:val="0"/>
                <w:bCs/>
                <w:sz w:val="18"/>
                <w:szCs w:val="18"/>
              </w:rPr>
              <w:t>要依法编制从轻处罚事项、减轻处罚事项、免予处罚事项（含首次轻微违法免予处罚事项）“三张清单”</w:t>
            </w:r>
            <w:r>
              <w:rPr>
                <w:rFonts w:hint="eastAsia" w:cs="宋体"/>
                <w:b w:val="0"/>
                <w:bCs/>
                <w:sz w:val="18"/>
                <w:szCs w:val="18"/>
                <w:lang w:eastAsia="zh-CN"/>
              </w:rPr>
              <w:t>，</w:t>
            </w:r>
            <w:r>
              <w:rPr>
                <w:rFonts w:hint="eastAsia" w:ascii="宋体" w:hAnsi="宋体" w:eastAsia="宋体" w:cs="宋体"/>
                <w:b w:val="0"/>
                <w:bCs/>
                <w:sz w:val="18"/>
                <w:szCs w:val="18"/>
              </w:rPr>
              <w:t>并做好相关动态调整及社会公开</w:t>
            </w:r>
            <w:r>
              <w:rPr>
                <w:rFonts w:hint="eastAsia" w:cs="宋体"/>
                <w:b w:val="0"/>
                <w:bCs/>
                <w:sz w:val="18"/>
                <w:szCs w:val="18"/>
                <w:lang w:eastAsia="zh-CN"/>
              </w:rPr>
              <w:t>工作</w:t>
            </w:r>
            <w:r>
              <w:rPr>
                <w:rFonts w:hint="eastAsia" w:ascii="宋体" w:hAnsi="宋体" w:eastAsia="宋体" w:cs="宋体"/>
                <w:b w:val="0"/>
                <w:bCs/>
                <w:sz w:val="18"/>
                <w:szCs w:val="18"/>
              </w:rPr>
              <w:t>。</w:t>
            </w:r>
          </w:p>
        </w:tc>
        <w:tc>
          <w:tcPr>
            <w:tcW w:w="794" w:type="dxa"/>
            <w:vMerge w:val="continue"/>
            <w:vAlign w:val="center"/>
          </w:tcPr>
          <w:p>
            <w:pPr>
              <w:pStyle w:val="3"/>
              <w:spacing w:before="0" w:beforeAutospacing="0" w:after="0" w:afterAutospacing="0" w:line="240" w:lineRule="exact"/>
              <w:jc w:val="both"/>
              <w:outlineLvl w:val="2"/>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60" w:type="dxa"/>
            <w:vMerge w:val="continue"/>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p>
        </w:tc>
        <w:tc>
          <w:tcPr>
            <w:tcW w:w="1224" w:type="dxa"/>
            <w:gridSpan w:val="3"/>
            <w:vAlign w:val="center"/>
          </w:tcPr>
          <w:p>
            <w:pPr>
              <w:pStyle w:val="3"/>
              <w:keepNext w:val="0"/>
              <w:keepLines w:val="0"/>
              <w:pageBreakBefore w:val="0"/>
              <w:widowControl w:val="0"/>
              <w:numPr>
                <w:ilvl w:val="0"/>
                <w:numId w:val="2"/>
              </w:numPr>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加大特殊</w:t>
            </w:r>
            <w:r>
              <w:rPr>
                <w:rFonts w:hint="eastAsia" w:ascii="宋体" w:hAnsi="宋体" w:eastAsia="宋体" w:cs="宋体"/>
                <w:b w:val="0"/>
                <w:bCs/>
                <w:spacing w:val="-11"/>
                <w:sz w:val="18"/>
                <w:szCs w:val="18"/>
              </w:rPr>
              <w:t>行业和重点领域监管力度</w:t>
            </w: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（16）加大特殊行业和重点领域监管力度</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lang w:eastAsia="zh-CN"/>
              </w:rPr>
              <w:t>县</w:t>
            </w:r>
            <w:r>
              <w:rPr>
                <w:rFonts w:hint="eastAsia" w:ascii="宋体" w:hAnsi="宋体" w:eastAsia="宋体" w:cs="宋体"/>
                <w:b w:val="0"/>
                <w:bCs/>
                <w:sz w:val="18"/>
              </w:rPr>
              <w:t>直各行政执法</w:t>
            </w:r>
            <w:r>
              <w:rPr>
                <w:rFonts w:hint="eastAsia" w:cs="宋体"/>
                <w:b w:val="0"/>
                <w:bCs/>
                <w:sz w:val="18"/>
                <w:szCs w:val="18"/>
                <w:lang w:eastAsia="zh-CN"/>
              </w:rPr>
              <w:t>部门</w:t>
            </w:r>
            <w:r>
              <w:rPr>
                <w:rFonts w:hint="eastAsia" w:ascii="宋体" w:hAnsi="宋体" w:eastAsia="宋体" w:cs="宋体"/>
                <w:b w:val="0"/>
                <w:bCs/>
                <w:sz w:val="18"/>
              </w:rPr>
              <w:t>及</w:t>
            </w:r>
            <w:r>
              <w:rPr>
                <w:rFonts w:hint="eastAsia" w:ascii="宋体" w:hAnsi="宋体" w:eastAsia="宋体" w:cs="宋体"/>
                <w:b w:val="0"/>
                <w:bCs/>
                <w:sz w:val="18"/>
                <w:szCs w:val="18"/>
              </w:rPr>
              <w:t>各乡镇要对直接涉及公共安全和人民群众生命健康的特殊行业、重点领域进行全覆盖的重点监管，特别是要加强对食品药品、公共卫生、自然资源、生态环境、安全生产、劳动保障、城市管理、交通运输、教育培训等领域的监管。</w:t>
            </w:r>
          </w:p>
        </w:tc>
        <w:tc>
          <w:tcPr>
            <w:tcW w:w="794" w:type="dxa"/>
            <w:vMerge w:val="continue"/>
            <w:vAlign w:val="center"/>
          </w:tcPr>
          <w:p>
            <w:pPr>
              <w:pStyle w:val="3"/>
              <w:spacing w:before="0" w:beforeAutospacing="0" w:after="0" w:afterAutospacing="0" w:line="240" w:lineRule="exact"/>
              <w:jc w:val="both"/>
              <w:outlineLvl w:val="2"/>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60" w:type="dxa"/>
            <w:vMerge w:val="continue"/>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p>
        </w:tc>
        <w:tc>
          <w:tcPr>
            <w:tcW w:w="1224" w:type="dxa"/>
            <w:gridSpan w:val="3"/>
            <w:vMerge w:val="restart"/>
            <w:vAlign w:val="center"/>
          </w:tcPr>
          <w:p>
            <w:pPr>
              <w:pStyle w:val="3"/>
              <w:keepNext w:val="0"/>
              <w:keepLines w:val="0"/>
              <w:pageBreakBefore w:val="0"/>
              <w:widowControl w:val="0"/>
              <w:numPr>
                <w:ilvl w:val="0"/>
                <w:numId w:val="2"/>
              </w:numPr>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规范涉企行</w:t>
            </w:r>
            <w:r>
              <w:rPr>
                <w:rFonts w:hint="eastAsia" w:ascii="宋体" w:hAnsi="宋体" w:eastAsia="宋体" w:cs="宋体"/>
                <w:b w:val="0"/>
                <w:bCs/>
                <w:spacing w:val="-11"/>
                <w:sz w:val="18"/>
                <w:szCs w:val="18"/>
              </w:rPr>
              <w:t>政执法行为</w:t>
            </w: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（17）加快构建新型执法机制</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严格规范涉企行政检查，</w:t>
            </w: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直各行政执法</w:t>
            </w:r>
            <w:r>
              <w:rPr>
                <w:rFonts w:hint="eastAsia" w:cs="宋体"/>
                <w:b w:val="0"/>
                <w:bCs/>
                <w:sz w:val="18"/>
                <w:szCs w:val="18"/>
                <w:lang w:eastAsia="zh-CN"/>
              </w:rPr>
              <w:t>部门</w:t>
            </w:r>
            <w:r>
              <w:rPr>
                <w:rFonts w:hint="eastAsia" w:ascii="宋体" w:hAnsi="宋体" w:eastAsia="宋体" w:cs="宋体"/>
                <w:b w:val="0"/>
                <w:bCs/>
                <w:sz w:val="18"/>
                <w:szCs w:val="18"/>
              </w:rPr>
              <w:t>及各乡镇要健全完善以信用监管为基础的新型执法机制，深化“互联网+监管”应用，完善联合检查、“双随机、一公开”监管、非现场执法等工作机制，推动监管信息共享互认。</w:t>
            </w:r>
          </w:p>
        </w:tc>
        <w:tc>
          <w:tcPr>
            <w:tcW w:w="794" w:type="dxa"/>
            <w:vMerge w:val="continue"/>
            <w:vAlign w:val="center"/>
          </w:tcPr>
          <w:p>
            <w:pPr>
              <w:pStyle w:val="3"/>
              <w:spacing w:before="0" w:beforeAutospacing="0" w:after="0" w:afterAutospacing="0" w:line="240" w:lineRule="exact"/>
              <w:jc w:val="both"/>
              <w:outlineLvl w:val="2"/>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60" w:type="dxa"/>
            <w:vMerge w:val="continue"/>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p>
        </w:tc>
        <w:tc>
          <w:tcPr>
            <w:tcW w:w="1224" w:type="dxa"/>
            <w:gridSpan w:val="3"/>
            <w:vMerge w:val="continue"/>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（18）探索涉企行政合规指导</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帮助企业防范行政违法风险、纠正违法行为，引导企业规范、守法经营。</w:t>
            </w:r>
          </w:p>
        </w:tc>
        <w:tc>
          <w:tcPr>
            <w:tcW w:w="794" w:type="dxa"/>
            <w:vMerge w:val="continue"/>
            <w:vAlign w:val="center"/>
          </w:tcPr>
          <w:p>
            <w:pPr>
              <w:pStyle w:val="3"/>
              <w:spacing w:before="0" w:beforeAutospacing="0" w:after="0" w:afterAutospacing="0" w:line="240" w:lineRule="exact"/>
              <w:jc w:val="both"/>
              <w:outlineLvl w:val="2"/>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60" w:type="dxa"/>
            <w:vMerge w:val="continue"/>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p>
        </w:tc>
        <w:tc>
          <w:tcPr>
            <w:tcW w:w="1224" w:type="dxa"/>
            <w:gridSpan w:val="3"/>
            <w:vMerge w:val="continue"/>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（19）探索开展涉企行政执法案件经济影响评估</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探索开展涉企行政执法案件经济影响评估并作出有效防范和处置，降低行政执法活动对企业生产经营的负面影响。</w:t>
            </w:r>
          </w:p>
        </w:tc>
        <w:tc>
          <w:tcPr>
            <w:tcW w:w="794" w:type="dxa"/>
            <w:vMerge w:val="continue"/>
            <w:vAlign w:val="center"/>
          </w:tcPr>
          <w:p>
            <w:pPr>
              <w:pStyle w:val="3"/>
              <w:spacing w:before="0" w:beforeAutospacing="0" w:after="0" w:afterAutospacing="0" w:line="240" w:lineRule="exact"/>
              <w:jc w:val="both"/>
              <w:outlineLvl w:val="2"/>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60" w:type="dxa"/>
            <w:vMerge w:val="continue"/>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p>
        </w:tc>
        <w:tc>
          <w:tcPr>
            <w:tcW w:w="1224" w:type="dxa"/>
            <w:gridSpan w:val="3"/>
            <w:vMerge w:val="continue"/>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宋体" w:hAnsi="宋体" w:eastAsia="宋体" w:cs="宋体"/>
                <w:b w:val="0"/>
                <w:bCs/>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（20）畅通涉民营企业行政执法违法行为投诉举报渠道</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4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直各行政执法</w:t>
            </w:r>
            <w:r>
              <w:rPr>
                <w:rFonts w:hint="eastAsia" w:cs="宋体"/>
                <w:b w:val="0"/>
                <w:bCs/>
                <w:sz w:val="18"/>
                <w:szCs w:val="18"/>
                <w:lang w:eastAsia="zh-CN"/>
              </w:rPr>
              <w:t>部门</w:t>
            </w:r>
            <w:r>
              <w:rPr>
                <w:rFonts w:hint="eastAsia" w:ascii="宋体" w:hAnsi="宋体" w:eastAsia="宋体" w:cs="宋体"/>
                <w:b w:val="0"/>
                <w:bCs/>
                <w:sz w:val="18"/>
                <w:szCs w:val="18"/>
              </w:rPr>
              <w:t>及各乡镇要依法处理投诉举报事项，切实维护民营企业合法权益。</w:t>
            </w:r>
          </w:p>
        </w:tc>
        <w:tc>
          <w:tcPr>
            <w:tcW w:w="794" w:type="dxa"/>
            <w:vMerge w:val="continue"/>
            <w:vAlign w:val="center"/>
          </w:tcPr>
          <w:p>
            <w:pPr>
              <w:pStyle w:val="3"/>
              <w:spacing w:before="0" w:beforeAutospacing="0" w:after="0" w:afterAutospacing="0" w:line="240" w:lineRule="exact"/>
              <w:jc w:val="both"/>
              <w:outlineLvl w:val="2"/>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308" w:type="dxa"/>
            <w:gridSpan w:val="6"/>
            <w:vAlign w:val="center"/>
          </w:tcPr>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工作任务</w:t>
            </w:r>
          </w:p>
        </w:tc>
        <w:tc>
          <w:tcPr>
            <w:tcW w:w="4736" w:type="dxa"/>
            <w:vMerge w:val="restart"/>
            <w:vAlign w:val="center"/>
          </w:tcPr>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lang w:eastAsia="zh-CN"/>
              </w:rPr>
              <w:t>县</w:t>
            </w:r>
            <w:r>
              <w:rPr>
                <w:rFonts w:hint="eastAsia" w:ascii="黑体" w:hAnsi="黑体" w:eastAsia="黑体" w:cs="黑体"/>
                <w:b w:val="0"/>
                <w:bCs/>
                <w:sz w:val="18"/>
                <w:szCs w:val="18"/>
              </w:rPr>
              <w:t>级具体举措</w:t>
            </w:r>
          </w:p>
        </w:tc>
        <w:tc>
          <w:tcPr>
            <w:tcW w:w="794" w:type="dxa"/>
            <w:vMerge w:val="restart"/>
            <w:vAlign w:val="center"/>
          </w:tcPr>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责任</w:t>
            </w:r>
          </w:p>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0" w:type="dxa"/>
            <w:gridSpan w:val="2"/>
            <w:vAlign w:val="center"/>
          </w:tcPr>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任务</w:t>
            </w:r>
          </w:p>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分类</w:t>
            </w:r>
          </w:p>
        </w:tc>
        <w:tc>
          <w:tcPr>
            <w:tcW w:w="1154" w:type="dxa"/>
            <w:gridSpan w:val="2"/>
            <w:vAlign w:val="center"/>
          </w:tcPr>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省级指标</w:t>
            </w:r>
          </w:p>
        </w:tc>
        <w:tc>
          <w:tcPr>
            <w:tcW w:w="1424" w:type="dxa"/>
            <w:gridSpan w:val="2"/>
            <w:vAlign w:val="center"/>
          </w:tcPr>
          <w:p>
            <w:pPr>
              <w:pStyle w:val="3"/>
              <w:spacing w:before="0" w:beforeAutospacing="0" w:after="0" w:afterAutospacing="0" w:line="24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市级指标</w:t>
            </w:r>
          </w:p>
        </w:tc>
        <w:tc>
          <w:tcPr>
            <w:tcW w:w="4736" w:type="dxa"/>
            <w:vMerge w:val="continue"/>
            <w:vAlign w:val="center"/>
          </w:tcPr>
          <w:p>
            <w:pPr>
              <w:pStyle w:val="3"/>
              <w:spacing w:before="0" w:beforeAutospacing="0" w:after="0" w:afterAutospacing="0" w:line="240" w:lineRule="exact"/>
              <w:jc w:val="both"/>
              <w:outlineLvl w:val="2"/>
              <w:rPr>
                <w:rFonts w:hint="eastAsia" w:ascii="黑体" w:hAnsi="黑体" w:eastAsia="黑体" w:cs="黑体"/>
                <w:b w:val="0"/>
                <w:bCs/>
                <w:sz w:val="18"/>
                <w:szCs w:val="18"/>
              </w:rPr>
            </w:pPr>
          </w:p>
        </w:tc>
        <w:tc>
          <w:tcPr>
            <w:tcW w:w="794" w:type="dxa"/>
            <w:vMerge w:val="continue"/>
            <w:vAlign w:val="center"/>
          </w:tcPr>
          <w:p>
            <w:pPr>
              <w:pStyle w:val="3"/>
              <w:spacing w:before="0" w:beforeAutospacing="0" w:after="0" w:afterAutospacing="0" w:line="240" w:lineRule="exact"/>
              <w:jc w:val="both"/>
              <w:outlineLvl w:val="2"/>
              <w:rPr>
                <w:rFonts w:hint="eastAsia" w:ascii="黑体" w:hAnsi="黑体" w:eastAsia="黑体" w:cs="黑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30" w:type="dxa"/>
            <w:gridSpan w:val="2"/>
            <w:vMerge w:val="restart"/>
            <w:vAlign w:val="center"/>
          </w:tcPr>
          <w:p>
            <w:pPr>
              <w:pStyle w:val="3"/>
              <w:spacing w:before="0" w:beforeAutospacing="0" w:after="0" w:afterAutospacing="0" w:line="240" w:lineRule="exact"/>
              <w:jc w:val="center"/>
              <w:outlineLvl w:val="2"/>
              <w:rPr>
                <w:rFonts w:cs="宋体"/>
                <w:b w:val="0"/>
                <w:bCs/>
                <w:sz w:val="18"/>
                <w:szCs w:val="18"/>
              </w:rPr>
            </w:pPr>
            <w:r>
              <w:rPr>
                <w:rFonts w:cs="宋体"/>
                <w:b w:val="0"/>
                <w:bCs/>
                <w:sz w:val="18"/>
                <w:szCs w:val="18"/>
              </w:rPr>
              <w:t>三、</w:t>
            </w:r>
          </w:p>
          <w:p>
            <w:pPr>
              <w:pStyle w:val="3"/>
              <w:spacing w:before="0" w:beforeAutospacing="0" w:after="0" w:afterAutospacing="0" w:line="240" w:lineRule="exact"/>
              <w:jc w:val="center"/>
              <w:outlineLvl w:val="2"/>
              <w:rPr>
                <w:rFonts w:hint="default" w:cs="宋体"/>
                <w:b w:val="0"/>
                <w:bCs/>
                <w:sz w:val="18"/>
                <w:szCs w:val="18"/>
              </w:rPr>
            </w:pPr>
            <w:r>
              <w:rPr>
                <w:rFonts w:cs="宋体"/>
                <w:b w:val="0"/>
                <w:bCs/>
                <w:sz w:val="18"/>
                <w:szCs w:val="18"/>
              </w:rPr>
              <w:t>健全完善行政执法工作体系</w:t>
            </w:r>
          </w:p>
        </w:tc>
        <w:tc>
          <w:tcPr>
            <w:tcW w:w="1154" w:type="dxa"/>
            <w:gridSpan w:val="2"/>
            <w:vAlign w:val="center"/>
          </w:tcPr>
          <w:p>
            <w:pPr>
              <w:pStyle w:val="3"/>
              <w:keepNext w:val="0"/>
              <w:keepLines w:val="0"/>
              <w:pageBreakBefore w:val="0"/>
              <w:widowControl w:val="0"/>
              <w:numPr>
                <w:ilvl w:val="0"/>
                <w:numId w:val="2"/>
              </w:numPr>
              <w:wordWrap/>
              <w:overflow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cs="宋体"/>
                <w:b w:val="0"/>
                <w:bCs/>
                <w:sz w:val="18"/>
                <w:szCs w:val="18"/>
              </w:rPr>
              <w:t>清理规范</w:t>
            </w:r>
            <w:r>
              <w:rPr>
                <w:rFonts w:cs="宋体"/>
                <w:b w:val="0"/>
                <w:bCs/>
                <w:spacing w:val="11"/>
                <w:sz w:val="18"/>
                <w:szCs w:val="18"/>
              </w:rPr>
              <w:t>行政执法事项</w:t>
            </w: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cs="宋体"/>
                <w:b w:val="0"/>
                <w:bCs/>
                <w:sz w:val="18"/>
                <w:szCs w:val="18"/>
              </w:rPr>
              <w:t>（21）全面开展行政执法事项清理</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hint="eastAsia" w:cs="宋体"/>
                <w:b w:val="0"/>
                <w:bCs/>
                <w:sz w:val="18"/>
                <w:szCs w:val="18"/>
                <w:lang w:eastAsia="zh-CN"/>
              </w:rPr>
              <w:t>县</w:t>
            </w:r>
            <w:r>
              <w:rPr>
                <w:rFonts w:cs="宋体"/>
                <w:b w:val="0"/>
                <w:bCs/>
                <w:sz w:val="18"/>
                <w:szCs w:val="18"/>
              </w:rPr>
              <w:t>直各行政执法</w:t>
            </w:r>
            <w:r>
              <w:rPr>
                <w:rFonts w:hint="eastAsia" w:cs="宋体"/>
                <w:b w:val="0"/>
                <w:bCs/>
                <w:sz w:val="18"/>
                <w:szCs w:val="18"/>
                <w:lang w:eastAsia="zh-CN"/>
              </w:rPr>
              <w:t>部门</w:t>
            </w:r>
            <w:r>
              <w:rPr>
                <w:rFonts w:cs="宋体"/>
                <w:b w:val="0"/>
                <w:bCs/>
                <w:sz w:val="18"/>
                <w:szCs w:val="18"/>
              </w:rPr>
              <w:t>要根据法律、法规、规章的立改废情况，全面梳理、规范和精简执法事项，凡没有法律、法规、规章依据的执法事项一律取消。</w:t>
            </w:r>
          </w:p>
        </w:tc>
        <w:tc>
          <w:tcPr>
            <w:tcW w:w="794" w:type="dxa"/>
            <w:vMerge w:val="restart"/>
            <w:vAlign w:val="center"/>
          </w:tcPr>
          <w:p>
            <w:pPr>
              <w:pStyle w:val="3"/>
              <w:spacing w:before="0" w:beforeAutospacing="0" w:after="0" w:afterAutospacing="0" w:line="220" w:lineRule="exact"/>
              <w:jc w:val="both"/>
              <w:outlineLvl w:val="2"/>
              <w:rPr>
                <w:rFonts w:hint="default" w:cs="宋体"/>
                <w:b w:val="0"/>
                <w:bCs/>
                <w:sz w:val="18"/>
                <w:szCs w:val="18"/>
              </w:rPr>
            </w:pPr>
            <w:r>
              <w:rPr>
                <w:rFonts w:hint="eastAsia" w:cs="宋体"/>
                <w:b w:val="0"/>
                <w:bCs/>
                <w:sz w:val="18"/>
                <w:szCs w:val="18"/>
                <w:lang w:eastAsia="zh-CN"/>
              </w:rPr>
              <w:t>县</w:t>
            </w:r>
            <w:r>
              <w:rPr>
                <w:rFonts w:cs="宋体"/>
                <w:b w:val="0"/>
                <w:bCs/>
                <w:sz w:val="18"/>
                <w:szCs w:val="18"/>
              </w:rPr>
              <w:t>司法局、</w:t>
            </w:r>
            <w:r>
              <w:rPr>
                <w:rFonts w:hint="eastAsia" w:cs="宋体"/>
                <w:b w:val="0"/>
                <w:bCs/>
                <w:sz w:val="18"/>
                <w:szCs w:val="18"/>
                <w:lang w:eastAsia="zh-CN"/>
              </w:rPr>
              <w:t>县</w:t>
            </w:r>
            <w:r>
              <w:rPr>
                <w:rFonts w:cs="宋体"/>
                <w:b w:val="0"/>
                <w:bCs/>
                <w:sz w:val="18"/>
                <w:szCs w:val="18"/>
              </w:rPr>
              <w:t>直各行政执法</w:t>
            </w:r>
            <w:r>
              <w:rPr>
                <w:rFonts w:hint="eastAsia" w:cs="宋体"/>
                <w:b w:val="0"/>
                <w:bCs/>
                <w:spacing w:val="-11"/>
                <w:sz w:val="18"/>
                <w:szCs w:val="18"/>
                <w:lang w:eastAsia="zh-CN"/>
              </w:rPr>
              <w:t>部门</w:t>
            </w:r>
            <w:r>
              <w:rPr>
                <w:rFonts w:cs="宋体"/>
                <w:b w:val="0"/>
                <w:bCs/>
                <w:spacing w:val="-11"/>
                <w:sz w:val="18"/>
                <w:szCs w:val="18"/>
              </w:rPr>
              <w:t>、</w:t>
            </w:r>
            <w:r>
              <w:rPr>
                <w:rFonts w:cs="宋体"/>
                <w:b w:val="0"/>
                <w:bCs/>
                <w:sz w:val="18"/>
                <w:szCs w:val="18"/>
              </w:rPr>
              <w:t>各乡镇按职责分工负责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30" w:type="dxa"/>
            <w:gridSpan w:val="2"/>
            <w:vMerge w:val="continue"/>
            <w:vAlign w:val="center"/>
          </w:tcPr>
          <w:p>
            <w:pPr>
              <w:pStyle w:val="3"/>
              <w:spacing w:before="0" w:beforeAutospacing="0" w:after="0" w:afterAutospacing="0" w:line="240" w:lineRule="exact"/>
              <w:jc w:val="both"/>
              <w:outlineLvl w:val="2"/>
              <w:rPr>
                <w:rFonts w:hint="default" w:cs="宋体"/>
                <w:b w:val="0"/>
                <w:bCs/>
                <w:sz w:val="18"/>
                <w:szCs w:val="18"/>
              </w:rPr>
            </w:pPr>
          </w:p>
        </w:tc>
        <w:tc>
          <w:tcPr>
            <w:tcW w:w="1154" w:type="dxa"/>
            <w:gridSpan w:val="2"/>
            <w:vMerge w:val="restart"/>
            <w:vAlign w:val="center"/>
          </w:tcPr>
          <w:p>
            <w:pPr>
              <w:pStyle w:val="3"/>
              <w:keepNext w:val="0"/>
              <w:keepLines w:val="0"/>
              <w:pageBreakBefore w:val="0"/>
              <w:widowControl w:val="0"/>
              <w:wordWrap/>
              <w:overflow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cs="宋体"/>
                <w:b w:val="0"/>
                <w:bCs/>
                <w:sz w:val="18"/>
                <w:szCs w:val="18"/>
              </w:rPr>
              <w:t>10.制定行政执法事项目录</w:t>
            </w: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cs="宋体"/>
                <w:b w:val="0"/>
                <w:bCs/>
                <w:sz w:val="18"/>
                <w:szCs w:val="18"/>
              </w:rPr>
              <w:t>（22）加快制定行政执法事项目录</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hint="eastAsia" w:cs="宋体"/>
                <w:b w:val="0"/>
                <w:bCs/>
                <w:sz w:val="18"/>
                <w:szCs w:val="18"/>
                <w:lang w:eastAsia="zh-CN"/>
              </w:rPr>
              <w:t>县</w:t>
            </w:r>
            <w:r>
              <w:rPr>
                <w:rFonts w:cs="宋体"/>
                <w:b w:val="0"/>
                <w:bCs/>
                <w:sz w:val="18"/>
                <w:szCs w:val="18"/>
              </w:rPr>
              <w:t>直各行政执法</w:t>
            </w:r>
            <w:r>
              <w:rPr>
                <w:rFonts w:hint="eastAsia" w:cs="宋体"/>
                <w:b w:val="0"/>
                <w:bCs/>
                <w:sz w:val="18"/>
                <w:szCs w:val="18"/>
                <w:lang w:eastAsia="zh-CN"/>
              </w:rPr>
              <w:t>部门</w:t>
            </w:r>
            <w:r>
              <w:rPr>
                <w:rFonts w:cs="宋体"/>
                <w:b w:val="0"/>
                <w:bCs/>
                <w:sz w:val="18"/>
                <w:szCs w:val="18"/>
              </w:rPr>
              <w:t>要根据法律、法规、规章的规定，梳理本部门行政处罚、行政许可、行政征收征用、行政确认、行政给付、行政强制、行政检查等行政执法事项，2024年底前制定本部门行政执法事项目录，及时公布并动态调整。</w:t>
            </w:r>
          </w:p>
        </w:tc>
        <w:tc>
          <w:tcPr>
            <w:tcW w:w="794" w:type="dxa"/>
            <w:vMerge w:val="continue"/>
            <w:vAlign w:val="center"/>
          </w:tcPr>
          <w:p>
            <w:pPr>
              <w:pStyle w:val="3"/>
              <w:spacing w:before="0" w:beforeAutospacing="0" w:after="0" w:afterAutospacing="0" w:line="220" w:lineRule="exact"/>
              <w:jc w:val="both"/>
              <w:outlineLvl w:val="2"/>
              <w:rPr>
                <w:rFonts w:hint="default"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730" w:type="dxa"/>
            <w:gridSpan w:val="2"/>
            <w:vMerge w:val="continue"/>
            <w:vAlign w:val="center"/>
          </w:tcPr>
          <w:p>
            <w:pPr>
              <w:pStyle w:val="3"/>
              <w:spacing w:before="0" w:beforeAutospacing="0" w:after="0" w:afterAutospacing="0" w:line="240" w:lineRule="exact"/>
              <w:jc w:val="both"/>
              <w:outlineLvl w:val="2"/>
              <w:rPr>
                <w:rFonts w:hint="default" w:cs="宋体"/>
                <w:b w:val="0"/>
                <w:bCs/>
                <w:sz w:val="18"/>
                <w:szCs w:val="18"/>
              </w:rPr>
            </w:pPr>
          </w:p>
        </w:tc>
        <w:tc>
          <w:tcPr>
            <w:tcW w:w="1154" w:type="dxa"/>
            <w:gridSpan w:val="2"/>
            <w:vMerge w:val="continue"/>
            <w:vAlign w:val="center"/>
          </w:tcPr>
          <w:p>
            <w:pPr>
              <w:pStyle w:val="3"/>
              <w:keepNext w:val="0"/>
              <w:keepLines w:val="0"/>
              <w:pageBreakBefore w:val="0"/>
              <w:widowControl w:val="0"/>
              <w:wordWrap/>
              <w:overflow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cs="宋体"/>
                <w:b w:val="0"/>
                <w:bCs/>
                <w:sz w:val="18"/>
                <w:szCs w:val="18"/>
              </w:rPr>
              <w:t>（23）</w:t>
            </w:r>
            <w:r>
              <w:rPr>
                <w:rFonts w:cs="宋体"/>
                <w:b w:val="0"/>
                <w:bCs/>
                <w:spacing w:val="-2"/>
                <w:sz w:val="18"/>
                <w:szCs w:val="18"/>
              </w:rPr>
              <w:t>加强行政</w:t>
            </w:r>
            <w:r>
              <w:rPr>
                <w:rFonts w:cs="宋体"/>
                <w:b w:val="0"/>
                <w:bCs/>
                <w:spacing w:val="-6"/>
                <w:sz w:val="18"/>
                <w:szCs w:val="18"/>
              </w:rPr>
              <w:t>执法事项目录制定的督促指导</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hint="eastAsia" w:cs="宋体"/>
                <w:b w:val="0"/>
                <w:bCs/>
                <w:sz w:val="18"/>
                <w:szCs w:val="18"/>
                <w:lang w:eastAsia="zh-CN"/>
              </w:rPr>
              <w:t>县</w:t>
            </w:r>
            <w:r>
              <w:rPr>
                <w:rFonts w:cs="宋体"/>
                <w:b w:val="0"/>
                <w:bCs/>
                <w:sz w:val="18"/>
                <w:szCs w:val="18"/>
              </w:rPr>
              <w:t>司法局要切实履行行政执法体制改革的</w:t>
            </w:r>
            <w:r>
              <w:rPr>
                <w:rFonts w:hint="eastAsia" w:cs="宋体"/>
                <w:b w:val="0"/>
                <w:bCs/>
                <w:sz w:val="18"/>
                <w:szCs w:val="18"/>
                <w:lang w:eastAsia="zh-CN"/>
              </w:rPr>
              <w:t>监督</w:t>
            </w:r>
            <w:r>
              <w:rPr>
                <w:rFonts w:cs="宋体"/>
                <w:b w:val="0"/>
                <w:bCs/>
                <w:sz w:val="18"/>
                <w:szCs w:val="18"/>
              </w:rPr>
              <w:t>协调职责，</w:t>
            </w:r>
            <w:r>
              <w:rPr>
                <w:rFonts w:cs="宋体"/>
                <w:b w:val="0"/>
                <w:bCs/>
                <w:spacing w:val="-6"/>
                <w:sz w:val="18"/>
                <w:szCs w:val="18"/>
              </w:rPr>
              <w:t>加强对行政执法</w:t>
            </w:r>
            <w:r>
              <w:rPr>
                <w:rFonts w:hint="eastAsia" w:cs="宋体"/>
                <w:b w:val="0"/>
                <w:bCs/>
                <w:spacing w:val="-6"/>
                <w:sz w:val="18"/>
                <w:szCs w:val="18"/>
                <w:lang w:eastAsia="zh-CN"/>
              </w:rPr>
              <w:t>部门</w:t>
            </w:r>
            <w:r>
              <w:rPr>
                <w:rFonts w:cs="宋体"/>
                <w:b w:val="0"/>
                <w:bCs/>
                <w:spacing w:val="-6"/>
                <w:sz w:val="18"/>
                <w:szCs w:val="18"/>
              </w:rPr>
              <w:t>行政执法事项目录制定工作的督促力度。</w:t>
            </w:r>
          </w:p>
        </w:tc>
        <w:tc>
          <w:tcPr>
            <w:tcW w:w="794" w:type="dxa"/>
            <w:vMerge w:val="continue"/>
            <w:vAlign w:val="center"/>
          </w:tcPr>
          <w:p>
            <w:pPr>
              <w:pStyle w:val="3"/>
              <w:spacing w:before="0" w:beforeAutospacing="0" w:after="0" w:afterAutospacing="0" w:line="220" w:lineRule="exact"/>
              <w:jc w:val="both"/>
              <w:outlineLvl w:val="2"/>
              <w:rPr>
                <w:rFonts w:hint="default"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730" w:type="dxa"/>
            <w:gridSpan w:val="2"/>
            <w:vMerge w:val="continue"/>
            <w:vAlign w:val="center"/>
          </w:tcPr>
          <w:p>
            <w:pPr>
              <w:pStyle w:val="3"/>
              <w:spacing w:before="0" w:beforeAutospacing="0" w:after="0" w:afterAutospacing="0" w:line="240" w:lineRule="exact"/>
              <w:jc w:val="both"/>
              <w:outlineLvl w:val="2"/>
              <w:rPr>
                <w:rFonts w:hint="default" w:cs="宋体"/>
                <w:b w:val="0"/>
                <w:bCs/>
                <w:sz w:val="18"/>
                <w:szCs w:val="18"/>
              </w:rPr>
            </w:pPr>
          </w:p>
        </w:tc>
        <w:tc>
          <w:tcPr>
            <w:tcW w:w="1154" w:type="dxa"/>
            <w:gridSpan w:val="2"/>
            <w:vMerge w:val="restart"/>
            <w:vAlign w:val="center"/>
          </w:tcPr>
          <w:p>
            <w:pPr>
              <w:pStyle w:val="3"/>
              <w:keepNext w:val="0"/>
              <w:keepLines w:val="0"/>
              <w:pageBreakBefore w:val="0"/>
              <w:widowControl w:val="0"/>
              <w:wordWrap/>
              <w:overflow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cs="宋体"/>
                <w:b w:val="0"/>
                <w:bCs/>
                <w:sz w:val="18"/>
                <w:szCs w:val="18"/>
              </w:rPr>
              <w:t>11.做好乡镇（街道）</w:t>
            </w:r>
            <w:r>
              <w:rPr>
                <w:rFonts w:cs="宋体"/>
                <w:b w:val="0"/>
                <w:bCs/>
                <w:spacing w:val="6"/>
                <w:sz w:val="18"/>
                <w:szCs w:val="18"/>
              </w:rPr>
              <w:t>赋权有关工作</w:t>
            </w: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cs="宋体"/>
                <w:b w:val="0"/>
                <w:bCs/>
                <w:sz w:val="18"/>
                <w:szCs w:val="18"/>
              </w:rPr>
              <w:t>（24）组织实施</w:t>
            </w:r>
            <w:r>
              <w:rPr>
                <w:rFonts w:cs="宋体"/>
                <w:b w:val="0"/>
                <w:bCs/>
                <w:spacing w:val="17"/>
                <w:sz w:val="18"/>
                <w:szCs w:val="18"/>
              </w:rPr>
              <w:t>乡镇赋权的评估</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cs="宋体"/>
                <w:b w:val="0"/>
                <w:bCs/>
                <w:sz w:val="18"/>
                <w:szCs w:val="18"/>
              </w:rPr>
              <w:t>按照全省乡镇（街道）赋权的有关工作安排，</w:t>
            </w:r>
            <w:r>
              <w:rPr>
                <w:rFonts w:hint="eastAsia" w:cs="宋体"/>
                <w:b w:val="0"/>
                <w:bCs/>
                <w:sz w:val="18"/>
                <w:szCs w:val="18"/>
                <w:lang w:eastAsia="zh-CN"/>
              </w:rPr>
              <w:t>县</w:t>
            </w:r>
            <w:r>
              <w:rPr>
                <w:rFonts w:cs="宋体"/>
                <w:b w:val="0"/>
                <w:bCs/>
                <w:sz w:val="18"/>
                <w:szCs w:val="18"/>
              </w:rPr>
              <w:t>委组织部、</w:t>
            </w:r>
            <w:r>
              <w:rPr>
                <w:rFonts w:hint="eastAsia" w:cs="宋体"/>
                <w:b w:val="0"/>
                <w:bCs/>
                <w:sz w:val="18"/>
                <w:szCs w:val="18"/>
                <w:lang w:eastAsia="zh-CN"/>
              </w:rPr>
              <w:t>县</w:t>
            </w:r>
            <w:r>
              <w:rPr>
                <w:rFonts w:cs="宋体"/>
                <w:b w:val="0"/>
                <w:bCs/>
                <w:sz w:val="18"/>
                <w:szCs w:val="18"/>
              </w:rPr>
              <w:t>委编办、</w:t>
            </w:r>
            <w:r>
              <w:rPr>
                <w:rFonts w:hint="eastAsia" w:cs="宋体"/>
                <w:b w:val="0"/>
                <w:bCs/>
                <w:sz w:val="18"/>
                <w:szCs w:val="18"/>
                <w:lang w:eastAsia="zh-CN"/>
              </w:rPr>
              <w:t>县</w:t>
            </w:r>
            <w:r>
              <w:rPr>
                <w:rFonts w:cs="宋体"/>
                <w:b w:val="0"/>
                <w:bCs/>
                <w:sz w:val="18"/>
                <w:szCs w:val="18"/>
              </w:rPr>
              <w:t>司法局要会同有关部门，于2024年底前对已经下放乡镇的行政执法事项组织评估，汇总评估结果后上报</w:t>
            </w:r>
            <w:r>
              <w:rPr>
                <w:rFonts w:hint="eastAsia" w:cs="宋体"/>
                <w:b w:val="0"/>
                <w:bCs/>
                <w:sz w:val="18"/>
                <w:szCs w:val="18"/>
                <w:lang w:eastAsia="zh-CN"/>
              </w:rPr>
              <w:t>市司法局</w:t>
            </w:r>
            <w:r>
              <w:rPr>
                <w:rFonts w:cs="宋体"/>
                <w:b w:val="0"/>
                <w:bCs/>
                <w:sz w:val="18"/>
                <w:szCs w:val="18"/>
              </w:rPr>
              <w:t>。</w:t>
            </w:r>
          </w:p>
        </w:tc>
        <w:tc>
          <w:tcPr>
            <w:tcW w:w="794" w:type="dxa"/>
            <w:vMerge w:val="restart"/>
            <w:vAlign w:val="center"/>
          </w:tcPr>
          <w:p>
            <w:pPr>
              <w:pStyle w:val="3"/>
              <w:spacing w:before="0" w:beforeAutospacing="0" w:after="0" w:afterAutospacing="0" w:line="220" w:lineRule="exact"/>
              <w:outlineLvl w:val="2"/>
              <w:rPr>
                <w:rFonts w:hint="default" w:cs="宋体"/>
                <w:b w:val="0"/>
                <w:bCs/>
                <w:sz w:val="18"/>
                <w:szCs w:val="18"/>
              </w:rPr>
            </w:pPr>
            <w:r>
              <w:rPr>
                <w:rFonts w:hint="eastAsia" w:cs="宋体"/>
                <w:b w:val="0"/>
                <w:bCs/>
                <w:sz w:val="18"/>
                <w:szCs w:val="18"/>
                <w:lang w:eastAsia="zh-CN"/>
              </w:rPr>
              <w:t>县</w:t>
            </w:r>
            <w:r>
              <w:rPr>
                <w:rFonts w:cs="宋体"/>
                <w:b w:val="0"/>
                <w:bCs/>
                <w:sz w:val="18"/>
                <w:szCs w:val="18"/>
              </w:rPr>
              <w:t>委组织部、</w:t>
            </w:r>
            <w:r>
              <w:rPr>
                <w:rFonts w:hint="eastAsia" w:cs="宋体"/>
                <w:b w:val="0"/>
                <w:bCs/>
                <w:sz w:val="18"/>
                <w:szCs w:val="18"/>
                <w:lang w:eastAsia="zh-CN"/>
              </w:rPr>
              <w:t>县</w:t>
            </w:r>
            <w:r>
              <w:rPr>
                <w:rFonts w:cs="宋体"/>
                <w:b w:val="0"/>
                <w:bCs/>
                <w:sz w:val="18"/>
                <w:szCs w:val="18"/>
              </w:rPr>
              <w:t>委编办、</w:t>
            </w:r>
            <w:r>
              <w:rPr>
                <w:rFonts w:hint="eastAsia" w:cs="宋体"/>
                <w:b w:val="0"/>
                <w:bCs/>
                <w:sz w:val="18"/>
                <w:szCs w:val="18"/>
                <w:lang w:eastAsia="zh-CN"/>
              </w:rPr>
              <w:t>县</w:t>
            </w:r>
            <w:r>
              <w:rPr>
                <w:rFonts w:cs="宋体"/>
                <w:b w:val="0"/>
                <w:bCs/>
                <w:sz w:val="18"/>
                <w:szCs w:val="18"/>
              </w:rPr>
              <w:t>司法局、</w:t>
            </w:r>
            <w:r>
              <w:rPr>
                <w:rFonts w:hint="eastAsia"/>
                <w:b w:val="0"/>
                <w:bCs/>
                <w:sz w:val="18"/>
                <w:szCs w:val="18"/>
                <w:lang w:eastAsia="zh-CN"/>
              </w:rPr>
              <w:t>县</w:t>
            </w:r>
            <w:r>
              <w:rPr>
                <w:b w:val="0"/>
                <w:bCs/>
                <w:sz w:val="18"/>
                <w:szCs w:val="18"/>
              </w:rPr>
              <w:t>直各行政执法</w:t>
            </w:r>
            <w:r>
              <w:rPr>
                <w:rFonts w:hint="eastAsia" w:cs="宋体"/>
                <w:b w:val="0"/>
                <w:bCs/>
                <w:sz w:val="18"/>
                <w:szCs w:val="18"/>
                <w:lang w:eastAsia="zh-CN"/>
              </w:rPr>
              <w:t>部门</w:t>
            </w:r>
            <w:r>
              <w:rPr>
                <w:rFonts w:cs="宋体"/>
                <w:b w:val="0"/>
                <w:bCs/>
                <w:sz w:val="18"/>
                <w:szCs w:val="18"/>
              </w:rPr>
              <w:t>、各乡镇按职责分工负责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730" w:type="dxa"/>
            <w:gridSpan w:val="2"/>
            <w:vMerge w:val="continue"/>
            <w:vAlign w:val="center"/>
          </w:tcPr>
          <w:p>
            <w:pPr>
              <w:pStyle w:val="3"/>
              <w:spacing w:before="0" w:beforeAutospacing="0" w:after="0" w:afterAutospacing="0" w:line="240" w:lineRule="exact"/>
              <w:jc w:val="both"/>
              <w:outlineLvl w:val="2"/>
              <w:rPr>
                <w:rFonts w:hint="default" w:cs="宋体"/>
                <w:b w:val="0"/>
                <w:bCs/>
                <w:sz w:val="18"/>
                <w:szCs w:val="18"/>
              </w:rPr>
            </w:pPr>
          </w:p>
        </w:tc>
        <w:tc>
          <w:tcPr>
            <w:tcW w:w="1154" w:type="dxa"/>
            <w:gridSpan w:val="2"/>
            <w:vMerge w:val="continue"/>
            <w:vAlign w:val="center"/>
          </w:tcPr>
          <w:p>
            <w:pPr>
              <w:pStyle w:val="3"/>
              <w:keepNext w:val="0"/>
              <w:keepLines w:val="0"/>
              <w:pageBreakBefore w:val="0"/>
              <w:widowControl w:val="0"/>
              <w:wordWrap/>
              <w:overflow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cs="宋体"/>
                <w:b w:val="0"/>
                <w:bCs/>
                <w:sz w:val="18"/>
                <w:szCs w:val="18"/>
              </w:rPr>
              <w:t>（25）做好乡镇赋权事项调整的承接</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cs="宋体"/>
                <w:b w:val="0"/>
                <w:bCs/>
                <w:sz w:val="18"/>
                <w:szCs w:val="18"/>
              </w:rPr>
              <w:t>要认真做好全省赋权乡镇（街道）行政执法事项动态调整相关承接等后续工作，确保乡镇赋权放得下、接得住、管得好、有监督。</w:t>
            </w:r>
          </w:p>
        </w:tc>
        <w:tc>
          <w:tcPr>
            <w:tcW w:w="794" w:type="dxa"/>
            <w:vMerge w:val="continue"/>
            <w:vAlign w:val="center"/>
          </w:tcPr>
          <w:p>
            <w:pPr>
              <w:pStyle w:val="3"/>
              <w:spacing w:before="0" w:beforeAutospacing="0" w:after="0" w:afterAutospacing="0" w:line="220" w:lineRule="exact"/>
              <w:jc w:val="both"/>
              <w:outlineLvl w:val="2"/>
              <w:rPr>
                <w:rFonts w:hint="default"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30" w:type="dxa"/>
            <w:gridSpan w:val="2"/>
            <w:vMerge w:val="continue"/>
            <w:vAlign w:val="center"/>
          </w:tcPr>
          <w:p>
            <w:pPr>
              <w:pStyle w:val="3"/>
              <w:spacing w:before="0" w:beforeAutospacing="0" w:after="0" w:afterAutospacing="0" w:line="240" w:lineRule="exact"/>
              <w:jc w:val="both"/>
              <w:outlineLvl w:val="2"/>
              <w:rPr>
                <w:rFonts w:hint="default" w:cs="宋体"/>
                <w:b w:val="0"/>
                <w:bCs/>
                <w:sz w:val="18"/>
                <w:szCs w:val="18"/>
              </w:rPr>
            </w:pPr>
          </w:p>
        </w:tc>
        <w:tc>
          <w:tcPr>
            <w:tcW w:w="1154" w:type="dxa"/>
            <w:gridSpan w:val="2"/>
            <w:vAlign w:val="center"/>
          </w:tcPr>
          <w:p>
            <w:pPr>
              <w:pStyle w:val="3"/>
              <w:keepNext w:val="0"/>
              <w:keepLines w:val="0"/>
              <w:pageBreakBefore w:val="0"/>
              <w:widowControl w:val="0"/>
              <w:wordWrap/>
              <w:overflow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cs="宋体"/>
                <w:b w:val="0"/>
                <w:bCs/>
                <w:sz w:val="18"/>
                <w:szCs w:val="18"/>
              </w:rPr>
              <w:t>12.加强乡镇（街道）行政执法规范化建设</w:t>
            </w: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cs="宋体"/>
                <w:b w:val="0"/>
                <w:bCs/>
                <w:sz w:val="18"/>
                <w:szCs w:val="18"/>
              </w:rPr>
              <w:t>（26）</w:t>
            </w:r>
            <w:r>
              <w:rPr>
                <w:rFonts w:cs="宋体"/>
                <w:b w:val="0"/>
                <w:bCs/>
                <w:spacing w:val="-3"/>
                <w:sz w:val="18"/>
                <w:szCs w:val="18"/>
              </w:rPr>
              <w:t>加强对乡镇行政执法规范化指导</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cs="宋体"/>
                <w:b w:val="0"/>
                <w:bCs/>
                <w:sz w:val="18"/>
                <w:szCs w:val="18"/>
              </w:rPr>
              <w:t>要对标省级乡镇（街道）行政执法规范化试点——灵石县、左权县、文水县的建设经验，加强对乡镇行政执法规范化的指导、协调和监督。</w:t>
            </w:r>
          </w:p>
        </w:tc>
        <w:tc>
          <w:tcPr>
            <w:tcW w:w="794" w:type="dxa"/>
            <w:vMerge w:val="restart"/>
            <w:vAlign w:val="center"/>
          </w:tcPr>
          <w:p>
            <w:pPr>
              <w:pStyle w:val="3"/>
              <w:spacing w:before="0" w:beforeAutospacing="0" w:after="0" w:afterAutospacing="0" w:line="220" w:lineRule="exact"/>
              <w:outlineLvl w:val="2"/>
              <w:rPr>
                <w:rFonts w:hint="default" w:cs="宋体"/>
                <w:b w:val="0"/>
                <w:bCs/>
                <w:sz w:val="18"/>
                <w:szCs w:val="18"/>
              </w:rPr>
            </w:pPr>
            <w:r>
              <w:rPr>
                <w:rFonts w:hint="eastAsia" w:cs="宋体"/>
                <w:b w:val="0"/>
                <w:bCs/>
                <w:sz w:val="18"/>
                <w:szCs w:val="18"/>
                <w:lang w:eastAsia="zh-CN"/>
              </w:rPr>
              <w:t>县</w:t>
            </w:r>
            <w:r>
              <w:rPr>
                <w:rFonts w:cs="宋体"/>
                <w:b w:val="0"/>
                <w:bCs/>
                <w:sz w:val="18"/>
                <w:szCs w:val="18"/>
              </w:rPr>
              <w:t>司法局、</w:t>
            </w:r>
            <w:r>
              <w:rPr>
                <w:rFonts w:hint="eastAsia" w:cs="宋体"/>
                <w:b w:val="0"/>
                <w:bCs/>
                <w:sz w:val="18"/>
                <w:szCs w:val="18"/>
                <w:lang w:eastAsia="zh-CN"/>
              </w:rPr>
              <w:t>县</w:t>
            </w:r>
            <w:r>
              <w:rPr>
                <w:rFonts w:cs="宋体"/>
                <w:b w:val="0"/>
                <w:bCs/>
                <w:sz w:val="18"/>
                <w:szCs w:val="18"/>
              </w:rPr>
              <w:t>直各行政执</w:t>
            </w:r>
            <w:r>
              <w:rPr>
                <w:rFonts w:hint="eastAsia" w:cs="宋体"/>
                <w:b w:val="0"/>
                <w:bCs/>
                <w:sz w:val="18"/>
                <w:szCs w:val="18"/>
                <w:lang w:eastAsia="zh-CN"/>
              </w:rPr>
              <w:t>法</w:t>
            </w:r>
            <w:r>
              <w:rPr>
                <w:rFonts w:hint="eastAsia" w:cs="宋体"/>
                <w:b w:val="0"/>
                <w:bCs/>
                <w:spacing w:val="-11"/>
                <w:sz w:val="18"/>
                <w:szCs w:val="18"/>
                <w:lang w:eastAsia="zh-CN"/>
              </w:rPr>
              <w:t>部门</w:t>
            </w:r>
            <w:r>
              <w:rPr>
                <w:rFonts w:cs="宋体"/>
                <w:b w:val="0"/>
                <w:bCs/>
                <w:spacing w:val="-11"/>
                <w:sz w:val="18"/>
                <w:szCs w:val="18"/>
              </w:rPr>
              <w:t>、</w:t>
            </w:r>
            <w:r>
              <w:rPr>
                <w:rFonts w:cs="宋体"/>
                <w:b w:val="0"/>
                <w:bCs/>
                <w:sz w:val="18"/>
                <w:szCs w:val="18"/>
              </w:rPr>
              <w:t>各乡镇按职责分工负责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30" w:type="dxa"/>
            <w:gridSpan w:val="2"/>
            <w:vMerge w:val="continue"/>
            <w:vAlign w:val="center"/>
          </w:tcPr>
          <w:p>
            <w:pPr>
              <w:pStyle w:val="3"/>
              <w:spacing w:before="0" w:beforeAutospacing="0" w:after="0" w:afterAutospacing="0" w:line="240" w:lineRule="exact"/>
              <w:jc w:val="both"/>
              <w:outlineLvl w:val="2"/>
              <w:rPr>
                <w:rFonts w:hint="default" w:cs="宋体"/>
                <w:b w:val="0"/>
                <w:bCs/>
                <w:sz w:val="18"/>
                <w:szCs w:val="18"/>
              </w:rPr>
            </w:pPr>
          </w:p>
        </w:tc>
        <w:tc>
          <w:tcPr>
            <w:tcW w:w="1154" w:type="dxa"/>
            <w:gridSpan w:val="2"/>
            <w:vMerge w:val="restart"/>
            <w:vAlign w:val="center"/>
          </w:tcPr>
          <w:p>
            <w:pPr>
              <w:pStyle w:val="3"/>
              <w:keepNext w:val="0"/>
              <w:keepLines w:val="0"/>
              <w:pageBreakBefore w:val="0"/>
              <w:widowControl w:val="0"/>
              <w:wordWrap/>
              <w:overflow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cs="宋体"/>
                <w:b w:val="0"/>
                <w:bCs/>
                <w:sz w:val="18"/>
                <w:szCs w:val="18"/>
              </w:rPr>
              <w:t>13.大力推进行政执法协作</w:t>
            </w: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cs="宋体"/>
                <w:b w:val="0"/>
                <w:bCs/>
                <w:sz w:val="18"/>
                <w:szCs w:val="18"/>
              </w:rPr>
              <w:t>（2</w:t>
            </w:r>
            <w:r>
              <w:rPr>
                <w:rFonts w:hint="eastAsia" w:cs="宋体"/>
                <w:b w:val="0"/>
                <w:bCs/>
                <w:sz w:val="18"/>
                <w:szCs w:val="18"/>
                <w:lang w:val="en-US" w:eastAsia="zh-CN"/>
              </w:rPr>
              <w:t>7</w:t>
            </w:r>
            <w:r>
              <w:rPr>
                <w:rFonts w:cs="宋体"/>
                <w:b w:val="0"/>
                <w:bCs/>
                <w:sz w:val="18"/>
                <w:szCs w:val="18"/>
              </w:rPr>
              <w:t>）健全事前事中事后监管有效衔接机制</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hint="eastAsia" w:cs="宋体"/>
                <w:b w:val="0"/>
                <w:bCs/>
                <w:sz w:val="18"/>
                <w:szCs w:val="18"/>
                <w:lang w:eastAsia="zh-CN"/>
              </w:rPr>
              <w:t>县</w:t>
            </w:r>
            <w:r>
              <w:rPr>
                <w:rFonts w:cs="宋体"/>
                <w:b w:val="0"/>
                <w:bCs/>
                <w:sz w:val="18"/>
                <w:szCs w:val="18"/>
              </w:rPr>
              <w:t>直各行政执法</w:t>
            </w:r>
            <w:r>
              <w:rPr>
                <w:rFonts w:hint="eastAsia" w:cs="宋体"/>
                <w:b w:val="0"/>
                <w:bCs/>
                <w:sz w:val="18"/>
                <w:szCs w:val="18"/>
                <w:lang w:eastAsia="zh-CN"/>
              </w:rPr>
              <w:t>部门</w:t>
            </w:r>
            <w:r>
              <w:rPr>
                <w:rFonts w:cs="宋体"/>
                <w:b w:val="0"/>
                <w:bCs/>
                <w:sz w:val="18"/>
                <w:szCs w:val="18"/>
              </w:rPr>
              <w:t>要健全事前事中事后监管有效衔接机制，厘清审管、管罚边界，明确审管、管罚权责，畅通有关衔接机制。</w:t>
            </w:r>
          </w:p>
        </w:tc>
        <w:tc>
          <w:tcPr>
            <w:tcW w:w="794" w:type="dxa"/>
            <w:vMerge w:val="continue"/>
            <w:vAlign w:val="center"/>
          </w:tcPr>
          <w:p>
            <w:pPr>
              <w:pStyle w:val="3"/>
              <w:spacing w:before="0" w:beforeAutospacing="0" w:after="0" w:afterAutospacing="0" w:line="240" w:lineRule="exact"/>
              <w:jc w:val="both"/>
              <w:outlineLvl w:val="2"/>
              <w:rPr>
                <w:rFonts w:hint="default"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30" w:type="dxa"/>
            <w:gridSpan w:val="2"/>
            <w:vMerge w:val="continue"/>
            <w:vAlign w:val="center"/>
          </w:tcPr>
          <w:p>
            <w:pPr>
              <w:pStyle w:val="3"/>
              <w:spacing w:before="0" w:beforeAutospacing="0" w:after="0" w:afterAutospacing="0" w:line="240" w:lineRule="exact"/>
              <w:jc w:val="both"/>
              <w:outlineLvl w:val="2"/>
              <w:rPr>
                <w:rFonts w:hint="default" w:cs="宋体"/>
                <w:b w:val="0"/>
                <w:bCs/>
                <w:sz w:val="18"/>
                <w:szCs w:val="18"/>
              </w:rPr>
            </w:pPr>
          </w:p>
        </w:tc>
        <w:tc>
          <w:tcPr>
            <w:tcW w:w="1154" w:type="dxa"/>
            <w:gridSpan w:val="2"/>
            <w:vMerge w:val="continue"/>
            <w:vAlign w:val="center"/>
          </w:tcPr>
          <w:p>
            <w:pPr>
              <w:pStyle w:val="3"/>
              <w:keepNext w:val="0"/>
              <w:keepLines w:val="0"/>
              <w:pageBreakBefore w:val="0"/>
              <w:widowControl w:val="0"/>
              <w:wordWrap/>
              <w:overflow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cs="宋体"/>
                <w:b w:val="0"/>
                <w:bCs/>
                <w:sz w:val="18"/>
                <w:szCs w:val="18"/>
              </w:rPr>
              <w:t>（2</w:t>
            </w:r>
            <w:r>
              <w:rPr>
                <w:rFonts w:hint="eastAsia" w:cs="宋体"/>
                <w:b w:val="0"/>
                <w:bCs/>
                <w:sz w:val="18"/>
                <w:szCs w:val="18"/>
                <w:lang w:val="en-US" w:eastAsia="zh-CN"/>
              </w:rPr>
              <w:t>8</w:t>
            </w:r>
            <w:r>
              <w:rPr>
                <w:rFonts w:cs="宋体"/>
                <w:b w:val="0"/>
                <w:bCs/>
                <w:sz w:val="18"/>
                <w:szCs w:val="18"/>
              </w:rPr>
              <w:t>）</w:t>
            </w:r>
            <w:r>
              <w:rPr>
                <w:rFonts w:cs="宋体"/>
                <w:b w:val="0"/>
                <w:bCs/>
                <w:spacing w:val="-2"/>
                <w:sz w:val="18"/>
                <w:szCs w:val="18"/>
              </w:rPr>
              <w:t>建立健全跨部门、跨区域、跨层级的行</w:t>
            </w:r>
            <w:r>
              <w:rPr>
                <w:rFonts w:cs="宋体"/>
                <w:b w:val="0"/>
                <w:bCs/>
                <w:spacing w:val="-6"/>
                <w:sz w:val="18"/>
                <w:szCs w:val="18"/>
              </w:rPr>
              <w:t>政执法协作机制</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cs="宋体"/>
                <w:b w:val="0"/>
                <w:bCs/>
                <w:sz w:val="18"/>
                <w:szCs w:val="18"/>
              </w:rPr>
              <w:t>加强信息共享、案件移送和执法协助，不断完善行政执法管辖、法律适用等争议协调机制，实现违法线索互联、监管标准互通、处理结果互认。</w:t>
            </w:r>
          </w:p>
        </w:tc>
        <w:tc>
          <w:tcPr>
            <w:tcW w:w="794" w:type="dxa"/>
            <w:vMerge w:val="restart"/>
            <w:vAlign w:val="center"/>
          </w:tcPr>
          <w:p>
            <w:pPr>
              <w:pStyle w:val="3"/>
              <w:spacing w:before="0" w:beforeAutospacing="0" w:after="0" w:afterAutospacing="0" w:line="240" w:lineRule="exact"/>
              <w:jc w:val="both"/>
              <w:outlineLvl w:val="2"/>
              <w:rPr>
                <w:rFonts w:hint="default" w:cs="宋体"/>
                <w:b w:val="0"/>
                <w:bCs/>
                <w:sz w:val="18"/>
                <w:szCs w:val="18"/>
              </w:rPr>
            </w:pPr>
            <w:r>
              <w:rPr>
                <w:rFonts w:hint="eastAsia" w:cs="宋体"/>
                <w:b w:val="0"/>
                <w:bCs/>
                <w:sz w:val="18"/>
                <w:szCs w:val="18"/>
                <w:lang w:eastAsia="zh-CN"/>
              </w:rPr>
              <w:t>县</w:t>
            </w:r>
            <w:r>
              <w:rPr>
                <w:rFonts w:cs="宋体"/>
                <w:b w:val="0"/>
                <w:bCs/>
                <w:sz w:val="18"/>
                <w:szCs w:val="18"/>
              </w:rPr>
              <w:t>司法局、</w:t>
            </w:r>
            <w:r>
              <w:rPr>
                <w:rFonts w:hint="eastAsia" w:cs="宋体"/>
                <w:b w:val="0"/>
                <w:bCs/>
                <w:sz w:val="18"/>
                <w:szCs w:val="18"/>
                <w:lang w:eastAsia="zh-CN"/>
              </w:rPr>
              <w:t>县</w:t>
            </w:r>
            <w:r>
              <w:rPr>
                <w:rFonts w:cs="宋体"/>
                <w:b w:val="0"/>
                <w:bCs/>
                <w:sz w:val="18"/>
                <w:szCs w:val="18"/>
              </w:rPr>
              <w:t>直各行政执法</w:t>
            </w:r>
            <w:r>
              <w:rPr>
                <w:rFonts w:hint="eastAsia" w:cs="宋体"/>
                <w:b w:val="0"/>
                <w:bCs/>
                <w:spacing w:val="-11"/>
                <w:sz w:val="18"/>
                <w:szCs w:val="18"/>
                <w:lang w:eastAsia="zh-CN"/>
              </w:rPr>
              <w:t>部门</w:t>
            </w:r>
            <w:r>
              <w:rPr>
                <w:rFonts w:cs="宋体"/>
                <w:b w:val="0"/>
                <w:bCs/>
                <w:spacing w:val="-11"/>
                <w:sz w:val="18"/>
                <w:szCs w:val="18"/>
              </w:rPr>
              <w:t>、</w:t>
            </w:r>
            <w:r>
              <w:rPr>
                <w:rFonts w:cs="宋体"/>
                <w:b w:val="0"/>
                <w:bCs/>
                <w:sz w:val="18"/>
                <w:szCs w:val="18"/>
              </w:rPr>
              <w:t>各乡镇按职责分工负责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30" w:type="dxa"/>
            <w:gridSpan w:val="2"/>
            <w:vMerge w:val="continue"/>
            <w:vAlign w:val="center"/>
          </w:tcPr>
          <w:p>
            <w:pPr>
              <w:pStyle w:val="3"/>
              <w:spacing w:before="0" w:beforeAutospacing="0" w:after="0" w:afterAutospacing="0" w:line="240" w:lineRule="exact"/>
              <w:jc w:val="both"/>
              <w:outlineLvl w:val="2"/>
              <w:rPr>
                <w:rFonts w:hint="default" w:cs="宋体"/>
                <w:sz w:val="18"/>
                <w:szCs w:val="18"/>
              </w:rPr>
            </w:pPr>
          </w:p>
        </w:tc>
        <w:tc>
          <w:tcPr>
            <w:tcW w:w="1154" w:type="dxa"/>
            <w:gridSpan w:val="2"/>
            <w:vMerge w:val="continue"/>
            <w:vAlign w:val="center"/>
          </w:tcPr>
          <w:p>
            <w:pPr>
              <w:pStyle w:val="3"/>
              <w:keepNext w:val="0"/>
              <w:keepLines w:val="0"/>
              <w:pageBreakBefore w:val="0"/>
              <w:widowControl w:val="0"/>
              <w:wordWrap/>
              <w:overflowPunct/>
              <w:autoSpaceDE w:val="0"/>
              <w:autoSpaceDN w:val="0"/>
              <w:bidi w:val="0"/>
              <w:adjustRightInd/>
              <w:snapToGrid/>
              <w:spacing w:before="0" w:beforeAutospacing="0" w:after="0" w:afterAutospacing="0" w:line="280" w:lineRule="exact"/>
              <w:jc w:val="both"/>
              <w:textAlignment w:val="baseline"/>
              <w:outlineLvl w:val="2"/>
              <w:rPr>
                <w:rFonts w:hint="default" w:cs="宋体"/>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cs="宋体"/>
                <w:b w:val="0"/>
                <w:bCs/>
                <w:sz w:val="18"/>
                <w:szCs w:val="18"/>
              </w:rPr>
              <w:t>（</w:t>
            </w:r>
            <w:r>
              <w:rPr>
                <w:rFonts w:hint="eastAsia" w:cs="宋体"/>
                <w:b w:val="0"/>
                <w:bCs/>
                <w:sz w:val="18"/>
                <w:szCs w:val="18"/>
                <w:lang w:val="en-US" w:eastAsia="zh-CN"/>
              </w:rPr>
              <w:t>29</w:t>
            </w:r>
            <w:r>
              <w:rPr>
                <w:rFonts w:cs="宋体"/>
                <w:b w:val="0"/>
                <w:bCs/>
                <w:sz w:val="18"/>
                <w:szCs w:val="18"/>
              </w:rPr>
              <w:t>）健全行政执法与刑事司法衔接机制</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cs="宋体"/>
                <w:b w:val="0"/>
                <w:bCs/>
                <w:sz w:val="18"/>
                <w:szCs w:val="18"/>
              </w:rPr>
              <w:t>加强与纪检监察、公安、检察、审判机关的工作衔接，建立问题反映、案情通报、案件移送等工作机制。</w:t>
            </w:r>
          </w:p>
        </w:tc>
        <w:tc>
          <w:tcPr>
            <w:tcW w:w="794" w:type="dxa"/>
            <w:vMerge w:val="continue"/>
            <w:vAlign w:val="center"/>
          </w:tcPr>
          <w:p>
            <w:pPr>
              <w:pStyle w:val="3"/>
              <w:spacing w:before="0" w:beforeAutospacing="0" w:after="0" w:afterAutospacing="0" w:line="240" w:lineRule="exact"/>
              <w:jc w:val="both"/>
              <w:outlineLvl w:val="2"/>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308" w:type="dxa"/>
            <w:gridSpan w:val="6"/>
            <w:vAlign w:val="center"/>
          </w:tcPr>
          <w:p>
            <w:pPr>
              <w:pStyle w:val="3"/>
              <w:spacing w:before="0" w:beforeAutospacing="0" w:after="0" w:afterAutospacing="0" w:line="220" w:lineRule="exact"/>
              <w:jc w:val="center"/>
              <w:outlineLvl w:val="2"/>
              <w:rPr>
                <w:rFonts w:hint="default" w:ascii="黑体" w:hAnsi="黑体" w:eastAsia="黑体" w:cs="黑体"/>
                <w:b w:val="0"/>
                <w:bCs/>
                <w:sz w:val="18"/>
                <w:szCs w:val="18"/>
                <w:lang w:eastAsia="zh-CN"/>
              </w:rPr>
            </w:pPr>
            <w:r>
              <w:rPr>
                <w:rFonts w:hint="eastAsia" w:ascii="黑体" w:hAnsi="黑体" w:eastAsia="黑体" w:cs="黑体"/>
                <w:b w:val="0"/>
                <w:bCs/>
                <w:sz w:val="18"/>
                <w:szCs w:val="18"/>
                <w:lang w:eastAsia="zh-CN"/>
              </w:rPr>
              <w:t>工作任务</w:t>
            </w:r>
          </w:p>
        </w:tc>
        <w:tc>
          <w:tcPr>
            <w:tcW w:w="4736" w:type="dxa"/>
            <w:vMerge w:val="restart"/>
            <w:vAlign w:val="center"/>
          </w:tcPr>
          <w:p>
            <w:pPr>
              <w:pStyle w:val="3"/>
              <w:spacing w:before="0" w:beforeAutospacing="0" w:after="0" w:afterAutospacing="0" w:line="220" w:lineRule="exact"/>
              <w:jc w:val="center"/>
              <w:outlineLvl w:val="2"/>
              <w:rPr>
                <w:rFonts w:hint="default" w:ascii="黑体" w:hAnsi="黑体" w:eastAsia="黑体" w:cs="黑体"/>
                <w:b w:val="0"/>
                <w:bCs/>
                <w:sz w:val="18"/>
                <w:szCs w:val="18"/>
                <w:lang w:eastAsia="zh-CN"/>
              </w:rPr>
            </w:pPr>
            <w:r>
              <w:rPr>
                <w:rFonts w:hint="eastAsia" w:ascii="黑体" w:hAnsi="黑体" w:eastAsia="黑体" w:cs="黑体"/>
                <w:b w:val="0"/>
                <w:bCs/>
                <w:sz w:val="18"/>
                <w:szCs w:val="18"/>
                <w:lang w:eastAsia="zh-CN"/>
              </w:rPr>
              <w:t>县级具体举措</w:t>
            </w:r>
          </w:p>
        </w:tc>
        <w:tc>
          <w:tcPr>
            <w:tcW w:w="794" w:type="dxa"/>
            <w:vMerge w:val="restart"/>
            <w:vAlign w:val="center"/>
          </w:tcPr>
          <w:p>
            <w:pPr>
              <w:pStyle w:val="3"/>
              <w:spacing w:before="0" w:beforeAutospacing="0" w:after="0" w:afterAutospacing="0" w:line="220" w:lineRule="exact"/>
              <w:jc w:val="center"/>
              <w:outlineLvl w:val="2"/>
              <w:rPr>
                <w:rFonts w:hint="default" w:ascii="黑体" w:hAnsi="黑体" w:eastAsia="黑体" w:cs="黑体"/>
                <w:b w:val="0"/>
                <w:bCs/>
                <w:sz w:val="18"/>
                <w:szCs w:val="18"/>
                <w:lang w:eastAsia="zh-CN"/>
              </w:rPr>
            </w:pPr>
            <w:r>
              <w:rPr>
                <w:rFonts w:hint="eastAsia" w:ascii="黑体" w:hAnsi="黑体" w:eastAsia="黑体" w:cs="黑体"/>
                <w:b w:val="0"/>
                <w:bCs/>
                <w:sz w:val="18"/>
                <w:szCs w:val="18"/>
                <w:lang w:eastAsia="zh-CN"/>
              </w:rPr>
              <w:t>责任</w:t>
            </w:r>
          </w:p>
          <w:p>
            <w:pPr>
              <w:pStyle w:val="3"/>
              <w:spacing w:before="0" w:beforeAutospacing="0" w:after="0" w:afterAutospacing="0" w:line="220" w:lineRule="exact"/>
              <w:jc w:val="center"/>
              <w:outlineLvl w:val="2"/>
              <w:rPr>
                <w:rFonts w:hint="default" w:ascii="黑体" w:hAnsi="黑体" w:eastAsia="黑体" w:cs="黑体"/>
                <w:b w:val="0"/>
                <w:bCs/>
                <w:sz w:val="18"/>
                <w:szCs w:val="18"/>
                <w:lang w:eastAsia="zh-CN"/>
              </w:rPr>
            </w:pPr>
            <w:r>
              <w:rPr>
                <w:rFonts w:hint="eastAsia" w:ascii="黑体" w:hAnsi="黑体" w:eastAsia="黑体" w:cs="黑体"/>
                <w:b w:val="0"/>
                <w:bCs/>
                <w:sz w:val="18"/>
                <w:szCs w:val="18"/>
                <w:lang w:eastAsia="zh-CN"/>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49" w:type="dxa"/>
            <w:gridSpan w:val="3"/>
            <w:vAlign w:val="center"/>
          </w:tcPr>
          <w:p>
            <w:pPr>
              <w:pStyle w:val="3"/>
              <w:spacing w:before="0" w:beforeAutospacing="0" w:after="0" w:afterAutospacing="0" w:line="22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任务</w:t>
            </w:r>
          </w:p>
          <w:p>
            <w:pPr>
              <w:pStyle w:val="3"/>
              <w:spacing w:before="0" w:beforeAutospacing="0" w:after="0" w:afterAutospacing="0" w:line="22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分类</w:t>
            </w:r>
          </w:p>
        </w:tc>
        <w:tc>
          <w:tcPr>
            <w:tcW w:w="1035" w:type="dxa"/>
            <w:vAlign w:val="center"/>
          </w:tcPr>
          <w:p>
            <w:pPr>
              <w:pStyle w:val="3"/>
              <w:spacing w:before="0" w:beforeAutospacing="0" w:after="0" w:afterAutospacing="0" w:line="22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省级指标</w:t>
            </w:r>
          </w:p>
        </w:tc>
        <w:tc>
          <w:tcPr>
            <w:tcW w:w="1424" w:type="dxa"/>
            <w:gridSpan w:val="2"/>
            <w:vAlign w:val="center"/>
          </w:tcPr>
          <w:p>
            <w:pPr>
              <w:pStyle w:val="3"/>
              <w:spacing w:before="0" w:beforeAutospacing="0" w:after="0" w:afterAutospacing="0" w:line="22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市级指标</w:t>
            </w:r>
          </w:p>
        </w:tc>
        <w:tc>
          <w:tcPr>
            <w:tcW w:w="4736" w:type="dxa"/>
            <w:vMerge w:val="continue"/>
            <w:vAlign w:val="center"/>
          </w:tcPr>
          <w:p>
            <w:pPr>
              <w:pStyle w:val="3"/>
              <w:spacing w:before="0" w:beforeAutospacing="0" w:after="0" w:afterAutospacing="0" w:line="220" w:lineRule="exact"/>
              <w:jc w:val="center"/>
              <w:outlineLvl w:val="2"/>
              <w:rPr>
                <w:rFonts w:hint="default" w:cs="宋体"/>
                <w:sz w:val="18"/>
                <w:szCs w:val="18"/>
              </w:rPr>
            </w:pPr>
          </w:p>
        </w:tc>
        <w:tc>
          <w:tcPr>
            <w:tcW w:w="794" w:type="dxa"/>
            <w:vMerge w:val="continue"/>
            <w:vAlign w:val="center"/>
          </w:tcPr>
          <w:p>
            <w:pPr>
              <w:pStyle w:val="3"/>
              <w:spacing w:before="0" w:beforeAutospacing="0" w:after="0" w:afterAutospacing="0" w:line="220" w:lineRule="exact"/>
              <w:jc w:val="center"/>
              <w:outlineLvl w:val="2"/>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49" w:type="dxa"/>
            <w:gridSpan w:val="3"/>
            <w:vMerge w:val="restart"/>
            <w:vAlign w:val="center"/>
          </w:tcPr>
          <w:p>
            <w:pPr>
              <w:pStyle w:val="3"/>
              <w:spacing w:before="0" w:beforeAutospacing="0" w:after="0" w:afterAutospacing="0" w:line="220" w:lineRule="exact"/>
              <w:jc w:val="center"/>
              <w:outlineLvl w:val="2"/>
              <w:rPr>
                <w:rFonts w:hint="eastAsia" w:ascii="宋体" w:hAnsi="宋体" w:eastAsia="宋体" w:cs="宋体"/>
                <w:b w:val="0"/>
                <w:bCs/>
                <w:sz w:val="18"/>
                <w:szCs w:val="18"/>
              </w:rPr>
            </w:pPr>
            <w:r>
              <w:rPr>
                <w:rFonts w:hint="eastAsia" w:ascii="宋体" w:hAnsi="宋体" w:eastAsia="宋体" w:cs="宋体"/>
                <w:b w:val="0"/>
                <w:bCs/>
                <w:sz w:val="18"/>
                <w:szCs w:val="18"/>
              </w:rPr>
              <w:t>四、</w:t>
            </w:r>
          </w:p>
          <w:p>
            <w:pPr>
              <w:pStyle w:val="3"/>
              <w:spacing w:before="0" w:beforeAutospacing="0" w:after="0" w:afterAutospacing="0" w:line="220" w:lineRule="exact"/>
              <w:jc w:val="center"/>
              <w:outlineLvl w:val="2"/>
              <w:rPr>
                <w:rFonts w:hint="eastAsia" w:ascii="宋体" w:hAnsi="宋体" w:eastAsia="宋体" w:cs="宋体"/>
                <w:b w:val="0"/>
                <w:bCs/>
                <w:sz w:val="18"/>
                <w:szCs w:val="18"/>
              </w:rPr>
            </w:pPr>
            <w:r>
              <w:rPr>
                <w:rFonts w:hint="eastAsia" w:ascii="宋体" w:hAnsi="宋体" w:eastAsia="宋体" w:cs="宋体"/>
                <w:b w:val="0"/>
                <w:bCs/>
                <w:sz w:val="18"/>
                <w:szCs w:val="18"/>
              </w:rPr>
              <w:t>加快</w:t>
            </w:r>
          </w:p>
          <w:p>
            <w:pPr>
              <w:pStyle w:val="3"/>
              <w:spacing w:before="0" w:beforeAutospacing="0" w:after="0" w:afterAutospacing="0" w:line="220" w:lineRule="exact"/>
              <w:jc w:val="center"/>
              <w:outlineLvl w:val="2"/>
              <w:rPr>
                <w:rFonts w:hint="eastAsia" w:ascii="宋体" w:hAnsi="宋体" w:eastAsia="宋体" w:cs="宋体"/>
                <w:b w:val="0"/>
                <w:bCs/>
                <w:sz w:val="18"/>
                <w:szCs w:val="18"/>
              </w:rPr>
            </w:pPr>
            <w:r>
              <w:rPr>
                <w:rFonts w:hint="eastAsia" w:ascii="宋体" w:hAnsi="宋体" w:eastAsia="宋体" w:cs="宋体"/>
                <w:b w:val="0"/>
                <w:bCs/>
                <w:sz w:val="18"/>
                <w:szCs w:val="18"/>
              </w:rPr>
              <w:t>构建</w:t>
            </w:r>
          </w:p>
          <w:p>
            <w:pPr>
              <w:pStyle w:val="3"/>
              <w:spacing w:before="0" w:beforeAutospacing="0" w:after="0" w:afterAutospacing="0" w:line="220" w:lineRule="exact"/>
              <w:jc w:val="center"/>
              <w:outlineLvl w:val="2"/>
              <w:rPr>
                <w:rFonts w:hint="eastAsia" w:ascii="宋体" w:hAnsi="宋体" w:eastAsia="宋体" w:cs="宋体"/>
                <w:b w:val="0"/>
                <w:bCs/>
                <w:sz w:val="18"/>
                <w:szCs w:val="18"/>
              </w:rPr>
            </w:pPr>
            <w:r>
              <w:rPr>
                <w:rFonts w:hint="eastAsia" w:ascii="宋体" w:hAnsi="宋体" w:eastAsia="宋体" w:cs="宋体"/>
                <w:b w:val="0"/>
                <w:bCs/>
                <w:sz w:val="18"/>
                <w:szCs w:val="18"/>
              </w:rPr>
              <w:t>行政</w:t>
            </w:r>
          </w:p>
          <w:p>
            <w:pPr>
              <w:pStyle w:val="3"/>
              <w:spacing w:before="0" w:beforeAutospacing="0" w:after="0" w:afterAutospacing="0" w:line="220" w:lineRule="exact"/>
              <w:jc w:val="center"/>
              <w:outlineLvl w:val="2"/>
              <w:rPr>
                <w:rFonts w:hint="eastAsia" w:ascii="宋体" w:hAnsi="宋体" w:eastAsia="宋体" w:cs="宋体"/>
                <w:b w:val="0"/>
                <w:bCs/>
                <w:sz w:val="18"/>
                <w:szCs w:val="18"/>
              </w:rPr>
            </w:pPr>
            <w:r>
              <w:rPr>
                <w:rFonts w:hint="eastAsia" w:ascii="宋体" w:hAnsi="宋体" w:eastAsia="宋体" w:cs="宋体"/>
                <w:b w:val="0"/>
                <w:bCs/>
                <w:sz w:val="18"/>
                <w:szCs w:val="18"/>
              </w:rPr>
              <w:t>执法</w:t>
            </w:r>
          </w:p>
          <w:p>
            <w:pPr>
              <w:pStyle w:val="3"/>
              <w:spacing w:before="0" w:beforeAutospacing="0" w:after="0" w:afterAutospacing="0" w:line="220" w:lineRule="exact"/>
              <w:jc w:val="center"/>
              <w:outlineLvl w:val="2"/>
              <w:rPr>
                <w:rFonts w:hint="eastAsia" w:ascii="宋体" w:hAnsi="宋体" w:eastAsia="宋体" w:cs="宋体"/>
                <w:b w:val="0"/>
                <w:bCs/>
                <w:sz w:val="18"/>
                <w:szCs w:val="18"/>
              </w:rPr>
            </w:pPr>
            <w:r>
              <w:rPr>
                <w:rFonts w:hint="eastAsia" w:ascii="宋体" w:hAnsi="宋体" w:eastAsia="宋体" w:cs="宋体"/>
                <w:b w:val="0"/>
                <w:bCs/>
                <w:sz w:val="18"/>
                <w:szCs w:val="18"/>
              </w:rPr>
              <w:t>协调</w:t>
            </w:r>
          </w:p>
          <w:p>
            <w:pPr>
              <w:pStyle w:val="3"/>
              <w:spacing w:before="0" w:beforeAutospacing="0" w:after="0" w:afterAutospacing="0" w:line="220" w:lineRule="exact"/>
              <w:jc w:val="center"/>
              <w:outlineLvl w:val="2"/>
              <w:rPr>
                <w:rFonts w:hint="eastAsia" w:ascii="宋体" w:hAnsi="宋体" w:eastAsia="宋体" w:cs="宋体"/>
                <w:b w:val="0"/>
                <w:bCs/>
                <w:sz w:val="18"/>
                <w:szCs w:val="18"/>
              </w:rPr>
            </w:pPr>
            <w:r>
              <w:rPr>
                <w:rFonts w:hint="eastAsia" w:ascii="宋体" w:hAnsi="宋体" w:eastAsia="宋体" w:cs="宋体"/>
                <w:b w:val="0"/>
                <w:bCs/>
                <w:sz w:val="18"/>
                <w:szCs w:val="18"/>
              </w:rPr>
              <w:t>监督</w:t>
            </w:r>
          </w:p>
          <w:p>
            <w:pPr>
              <w:pStyle w:val="3"/>
              <w:spacing w:before="0" w:beforeAutospacing="0" w:after="0" w:afterAutospacing="0" w:line="220" w:lineRule="exact"/>
              <w:jc w:val="center"/>
              <w:outlineLvl w:val="2"/>
              <w:rPr>
                <w:rFonts w:hint="eastAsia" w:ascii="宋体" w:hAnsi="宋体" w:eastAsia="宋体" w:cs="宋体"/>
                <w:b w:val="0"/>
                <w:bCs/>
                <w:sz w:val="18"/>
                <w:szCs w:val="18"/>
              </w:rPr>
            </w:pPr>
            <w:r>
              <w:rPr>
                <w:rFonts w:hint="eastAsia" w:ascii="宋体" w:hAnsi="宋体" w:eastAsia="宋体" w:cs="宋体"/>
                <w:b w:val="0"/>
                <w:bCs/>
                <w:sz w:val="18"/>
                <w:szCs w:val="18"/>
              </w:rPr>
              <w:t>工作</w:t>
            </w:r>
          </w:p>
          <w:p>
            <w:pPr>
              <w:pStyle w:val="3"/>
              <w:spacing w:before="0" w:beforeAutospacing="0" w:after="0" w:afterAutospacing="0" w:line="220" w:lineRule="exact"/>
              <w:jc w:val="center"/>
              <w:outlineLvl w:val="2"/>
              <w:rPr>
                <w:rFonts w:hint="eastAsia" w:ascii="宋体" w:hAnsi="宋体" w:eastAsia="宋体" w:cs="宋体"/>
                <w:b w:val="0"/>
                <w:bCs/>
                <w:sz w:val="18"/>
                <w:szCs w:val="18"/>
              </w:rPr>
            </w:pPr>
            <w:r>
              <w:rPr>
                <w:rFonts w:hint="eastAsia" w:ascii="宋体" w:hAnsi="宋体" w:eastAsia="宋体" w:cs="宋体"/>
                <w:b w:val="0"/>
                <w:bCs/>
                <w:sz w:val="18"/>
                <w:szCs w:val="18"/>
              </w:rPr>
              <w:t>体系</w:t>
            </w:r>
          </w:p>
        </w:tc>
        <w:tc>
          <w:tcPr>
            <w:tcW w:w="1035" w:type="dxa"/>
            <w:vMerge w:val="restart"/>
            <w:vAlign w:val="center"/>
          </w:tcPr>
          <w:p>
            <w:pPr>
              <w:pStyle w:val="3"/>
              <w:keepNext w:val="0"/>
              <w:keepLines w:val="0"/>
              <w:pageBreakBefore w:val="0"/>
              <w:widowControl w:val="0"/>
              <w:numPr>
                <w:ilvl w:val="0"/>
                <w:numId w:val="3"/>
              </w:numPr>
              <w:kinsoku w:val="0"/>
              <w:wordWrap/>
              <w:overflowPunct/>
              <w:topLinePunct w:val="0"/>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健全行政执法监督机制</w:t>
            </w: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（3</w:t>
            </w:r>
            <w:r>
              <w:rPr>
                <w:rFonts w:hint="eastAsia" w:ascii="宋体" w:hAnsi="宋体" w:eastAsia="宋体" w:cs="宋体"/>
                <w:b w:val="0"/>
                <w:bCs/>
                <w:sz w:val="18"/>
                <w:szCs w:val="18"/>
                <w:lang w:val="en-US" w:eastAsia="zh-CN"/>
              </w:rPr>
              <w:t>0</w:t>
            </w:r>
            <w:r>
              <w:rPr>
                <w:rFonts w:hint="eastAsia" w:ascii="宋体" w:hAnsi="宋体" w:eastAsia="宋体" w:cs="宋体"/>
                <w:b w:val="0"/>
                <w:bCs/>
                <w:sz w:val="18"/>
                <w:szCs w:val="18"/>
              </w:rPr>
              <w:t>）强化全方位、全流程的行政执法监督工作机制</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完善上级政府对下级政府实施政府层级监督、各级行政执法部门实施部门内部监督的工作机制。</w:t>
            </w:r>
          </w:p>
        </w:tc>
        <w:tc>
          <w:tcPr>
            <w:tcW w:w="794" w:type="dxa"/>
            <w:vMerge w:val="restart"/>
            <w:vAlign w:val="center"/>
          </w:tcPr>
          <w:p>
            <w:pPr>
              <w:pStyle w:val="3"/>
              <w:spacing w:before="0" w:beforeAutospacing="0" w:after="0" w:afterAutospacing="0" w:line="220" w:lineRule="exact"/>
              <w:jc w:val="both"/>
              <w:outlineLvl w:val="2"/>
              <w:rPr>
                <w:rFonts w:hint="eastAsia" w:ascii="宋体" w:hAnsi="宋体" w:eastAsia="宋体" w:cs="宋体"/>
                <w:b w:val="0"/>
                <w:bCs/>
                <w:sz w:val="18"/>
                <w:szCs w:val="18"/>
              </w:rPr>
            </w:pP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委编办、</w:t>
            </w: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司法局、</w:t>
            </w: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直各行政执法</w:t>
            </w:r>
            <w:r>
              <w:rPr>
                <w:rFonts w:hint="eastAsia" w:cs="宋体"/>
                <w:b w:val="0"/>
                <w:bCs/>
                <w:sz w:val="18"/>
                <w:szCs w:val="18"/>
                <w:lang w:eastAsia="zh-CN"/>
              </w:rPr>
              <w:t>部门</w:t>
            </w:r>
            <w:r>
              <w:rPr>
                <w:rFonts w:hint="eastAsia" w:ascii="宋体" w:hAnsi="宋体" w:eastAsia="宋体" w:cs="宋体"/>
                <w:b w:val="0"/>
                <w:bCs/>
                <w:sz w:val="18"/>
                <w:szCs w:val="18"/>
              </w:rPr>
              <w:t>、各乡镇按职责分工负责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9" w:type="dxa"/>
            <w:gridSpan w:val="3"/>
            <w:vMerge w:val="continue"/>
            <w:vAlign w:val="center"/>
          </w:tcPr>
          <w:p>
            <w:pPr>
              <w:pStyle w:val="3"/>
              <w:spacing w:before="0" w:beforeAutospacing="0" w:after="0" w:afterAutospacing="0" w:line="220" w:lineRule="exact"/>
              <w:jc w:val="center"/>
              <w:outlineLvl w:val="2"/>
              <w:rPr>
                <w:rFonts w:hint="eastAsia" w:ascii="宋体" w:hAnsi="宋体" w:eastAsia="宋体" w:cs="宋体"/>
                <w:b w:val="0"/>
                <w:bCs/>
                <w:sz w:val="18"/>
                <w:szCs w:val="18"/>
              </w:rPr>
            </w:pPr>
          </w:p>
        </w:tc>
        <w:tc>
          <w:tcPr>
            <w:tcW w:w="1035" w:type="dxa"/>
            <w:vMerge w:val="continue"/>
            <w:vAlign w:val="center"/>
          </w:tcPr>
          <w:p>
            <w:pPr>
              <w:pStyle w:val="3"/>
              <w:keepNext w:val="0"/>
              <w:keepLines w:val="0"/>
              <w:pageBreakBefore w:val="0"/>
              <w:widowControl w:val="0"/>
              <w:kinsoku w:val="0"/>
              <w:wordWrap/>
              <w:overflowPunct/>
              <w:topLinePunct w:val="0"/>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（3</w:t>
            </w:r>
            <w:r>
              <w:rPr>
                <w:rFonts w:hint="eastAsia" w:ascii="宋体" w:hAnsi="宋体" w:eastAsia="宋体" w:cs="宋体"/>
                <w:b w:val="0"/>
                <w:bCs/>
                <w:sz w:val="18"/>
                <w:szCs w:val="18"/>
                <w:lang w:val="en-US" w:eastAsia="zh-CN"/>
              </w:rPr>
              <w:t>1</w:t>
            </w:r>
            <w:r>
              <w:rPr>
                <w:rFonts w:hint="eastAsia" w:ascii="宋体" w:hAnsi="宋体" w:eastAsia="宋体" w:cs="宋体"/>
                <w:b w:val="0"/>
                <w:bCs/>
                <w:sz w:val="18"/>
                <w:szCs w:val="18"/>
              </w:rPr>
              <w:t>）加快推进工作体系的重点任务</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明确执法监督职责，规范执法监督内容，加强监督机构队伍建设，提升执法监督能力，确保执法监督力量配备、工作条件、能力水平与工作任务相适应。</w:t>
            </w:r>
          </w:p>
        </w:tc>
        <w:tc>
          <w:tcPr>
            <w:tcW w:w="794" w:type="dxa"/>
            <w:vMerge w:val="continue"/>
            <w:vAlign w:val="center"/>
          </w:tcPr>
          <w:p>
            <w:pPr>
              <w:pStyle w:val="3"/>
              <w:spacing w:before="0" w:beforeAutospacing="0" w:after="0" w:afterAutospacing="0" w:line="240" w:lineRule="exact"/>
              <w:jc w:val="both"/>
              <w:outlineLvl w:val="2"/>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49" w:type="dxa"/>
            <w:gridSpan w:val="3"/>
            <w:vMerge w:val="continue"/>
            <w:vAlign w:val="center"/>
          </w:tcPr>
          <w:p>
            <w:pPr>
              <w:pStyle w:val="3"/>
              <w:spacing w:before="0" w:beforeAutospacing="0" w:after="0" w:afterAutospacing="0" w:line="220" w:lineRule="exact"/>
              <w:jc w:val="center"/>
              <w:outlineLvl w:val="2"/>
              <w:rPr>
                <w:rFonts w:hint="eastAsia" w:ascii="宋体" w:hAnsi="宋体" w:eastAsia="宋体" w:cs="宋体"/>
                <w:b w:val="0"/>
                <w:bCs/>
                <w:sz w:val="18"/>
                <w:szCs w:val="18"/>
              </w:rPr>
            </w:pPr>
          </w:p>
        </w:tc>
        <w:tc>
          <w:tcPr>
            <w:tcW w:w="1035" w:type="dxa"/>
            <w:vMerge w:val="continue"/>
            <w:vAlign w:val="center"/>
          </w:tcPr>
          <w:p>
            <w:pPr>
              <w:pStyle w:val="3"/>
              <w:keepNext w:val="0"/>
              <w:keepLines w:val="0"/>
              <w:pageBreakBefore w:val="0"/>
              <w:widowControl w:val="0"/>
              <w:kinsoku w:val="0"/>
              <w:wordWrap/>
              <w:overflowPunct/>
              <w:topLinePunct w:val="0"/>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（3</w:t>
            </w:r>
            <w:r>
              <w:rPr>
                <w:rFonts w:hint="eastAsia" w:ascii="宋体" w:hAnsi="宋体" w:eastAsia="宋体" w:cs="宋体"/>
                <w:b w:val="0"/>
                <w:bCs/>
                <w:sz w:val="18"/>
                <w:szCs w:val="18"/>
                <w:lang w:val="en-US" w:eastAsia="zh-CN"/>
              </w:rPr>
              <w:t>2</w:t>
            </w:r>
            <w:r>
              <w:rPr>
                <w:rFonts w:hint="eastAsia" w:ascii="宋体" w:hAnsi="宋体" w:eastAsia="宋体" w:cs="宋体"/>
                <w:b w:val="0"/>
                <w:bCs/>
                <w:sz w:val="18"/>
                <w:szCs w:val="18"/>
              </w:rPr>
              <w:t>）推动行政执法监督向基层延伸</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积极探索司法所协助</w:t>
            </w: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司法局开展乡镇行政执法监督工作的方式方法。</w:t>
            </w:r>
          </w:p>
        </w:tc>
        <w:tc>
          <w:tcPr>
            <w:tcW w:w="794" w:type="dxa"/>
            <w:vMerge w:val="continue"/>
            <w:vAlign w:val="center"/>
          </w:tcPr>
          <w:p>
            <w:pPr>
              <w:pStyle w:val="3"/>
              <w:spacing w:before="0" w:beforeAutospacing="0" w:after="0" w:afterAutospacing="0" w:line="240" w:lineRule="exact"/>
              <w:jc w:val="both"/>
              <w:outlineLvl w:val="2"/>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9" w:type="dxa"/>
            <w:gridSpan w:val="3"/>
            <w:vMerge w:val="continue"/>
            <w:vAlign w:val="center"/>
          </w:tcPr>
          <w:p>
            <w:pPr>
              <w:pStyle w:val="3"/>
              <w:spacing w:before="0" w:beforeAutospacing="0" w:after="0" w:afterAutospacing="0" w:line="220" w:lineRule="exact"/>
              <w:jc w:val="center"/>
              <w:outlineLvl w:val="2"/>
              <w:rPr>
                <w:rFonts w:hint="eastAsia" w:ascii="宋体" w:hAnsi="宋体" w:eastAsia="宋体" w:cs="宋体"/>
                <w:b w:val="0"/>
                <w:bCs/>
                <w:sz w:val="18"/>
                <w:szCs w:val="18"/>
              </w:rPr>
            </w:pPr>
          </w:p>
        </w:tc>
        <w:tc>
          <w:tcPr>
            <w:tcW w:w="1035" w:type="dxa"/>
            <w:vMerge w:val="continue"/>
            <w:vAlign w:val="center"/>
          </w:tcPr>
          <w:p>
            <w:pPr>
              <w:pStyle w:val="3"/>
              <w:keepNext w:val="0"/>
              <w:keepLines w:val="0"/>
              <w:pageBreakBefore w:val="0"/>
              <w:widowControl w:val="0"/>
              <w:kinsoku w:val="0"/>
              <w:wordWrap/>
              <w:overflowPunct/>
              <w:topLinePunct w:val="0"/>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（3</w:t>
            </w:r>
            <w:r>
              <w:rPr>
                <w:rFonts w:hint="eastAsia" w:ascii="宋体" w:hAnsi="宋体" w:eastAsia="宋体" w:cs="宋体"/>
                <w:b w:val="0"/>
                <w:bCs/>
                <w:sz w:val="18"/>
                <w:szCs w:val="18"/>
                <w:lang w:val="en-US" w:eastAsia="zh-CN"/>
              </w:rPr>
              <w:t>3</w:t>
            </w:r>
            <w:r>
              <w:rPr>
                <w:rFonts w:hint="eastAsia" w:ascii="宋体" w:hAnsi="宋体" w:eastAsia="宋体" w:cs="宋体"/>
                <w:b w:val="0"/>
                <w:bCs/>
                <w:sz w:val="18"/>
                <w:szCs w:val="18"/>
              </w:rPr>
              <w:t>）严格工作体系建设时间节点</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2024年底前助推基本建成制度完善、机制健全、职责明确、监督有力、运转高效的省市县乡四级全覆盖的行政执法协调监督工作体系。</w:t>
            </w:r>
          </w:p>
        </w:tc>
        <w:tc>
          <w:tcPr>
            <w:tcW w:w="794" w:type="dxa"/>
            <w:vMerge w:val="continue"/>
            <w:vAlign w:val="center"/>
          </w:tcPr>
          <w:p>
            <w:pPr>
              <w:pStyle w:val="3"/>
              <w:spacing w:before="0" w:beforeAutospacing="0" w:after="0" w:afterAutospacing="0" w:line="240" w:lineRule="exact"/>
              <w:jc w:val="both"/>
              <w:outlineLvl w:val="2"/>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49" w:type="dxa"/>
            <w:gridSpan w:val="3"/>
            <w:vMerge w:val="continue"/>
            <w:vAlign w:val="center"/>
          </w:tcPr>
          <w:p>
            <w:pPr>
              <w:pStyle w:val="3"/>
              <w:spacing w:before="0" w:beforeAutospacing="0" w:after="0" w:afterAutospacing="0" w:line="220" w:lineRule="exact"/>
              <w:jc w:val="center"/>
              <w:outlineLvl w:val="2"/>
              <w:rPr>
                <w:rFonts w:hint="eastAsia" w:ascii="宋体" w:hAnsi="宋体" w:eastAsia="宋体" w:cs="宋体"/>
                <w:b w:val="0"/>
                <w:bCs/>
                <w:sz w:val="18"/>
                <w:szCs w:val="18"/>
              </w:rPr>
            </w:pPr>
          </w:p>
        </w:tc>
        <w:tc>
          <w:tcPr>
            <w:tcW w:w="1035" w:type="dxa"/>
            <w:vMerge w:val="restart"/>
            <w:vAlign w:val="center"/>
          </w:tcPr>
          <w:p>
            <w:pPr>
              <w:pStyle w:val="3"/>
              <w:keepNext w:val="0"/>
              <w:keepLines w:val="0"/>
              <w:pageBreakBefore w:val="0"/>
              <w:widowControl w:val="0"/>
              <w:numPr>
                <w:ilvl w:val="0"/>
                <w:numId w:val="3"/>
              </w:numPr>
              <w:kinsoku w:val="0"/>
              <w:wordWrap/>
              <w:overflowPunct/>
              <w:topLinePunct w:val="0"/>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完善行政执法监督制度</w:t>
            </w: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（3</w:t>
            </w:r>
            <w:r>
              <w:rPr>
                <w:rFonts w:hint="eastAsia" w:ascii="宋体" w:hAnsi="宋体" w:eastAsia="宋体" w:cs="宋体"/>
                <w:b w:val="0"/>
                <w:bCs/>
                <w:sz w:val="18"/>
                <w:szCs w:val="18"/>
                <w:lang w:val="en-US" w:eastAsia="zh-CN"/>
              </w:rPr>
              <w:t>4</w:t>
            </w:r>
            <w:r>
              <w:rPr>
                <w:rFonts w:hint="eastAsia" w:ascii="宋体" w:hAnsi="宋体" w:eastAsia="宋体" w:cs="宋体"/>
                <w:b w:val="0"/>
                <w:bCs/>
                <w:sz w:val="18"/>
                <w:szCs w:val="18"/>
              </w:rPr>
              <w:t>）完善行政执法监督配套工作制度</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健全完善行政执法人员资格管理、行政执法案卷评查、行政执法案例指导等行政执法监督配套工作制度，全面落实行政执法责任制，加强对行政执法的制约和监督。</w:t>
            </w:r>
          </w:p>
        </w:tc>
        <w:tc>
          <w:tcPr>
            <w:tcW w:w="794" w:type="dxa"/>
            <w:vMerge w:val="restart"/>
            <w:vAlign w:val="center"/>
          </w:tcPr>
          <w:p>
            <w:pPr>
              <w:pStyle w:val="3"/>
              <w:spacing w:before="0" w:beforeAutospacing="0" w:after="0" w:afterAutospacing="0" w:line="200" w:lineRule="exact"/>
              <w:jc w:val="both"/>
              <w:outlineLvl w:val="2"/>
              <w:rPr>
                <w:rFonts w:hint="eastAsia" w:ascii="宋体" w:hAnsi="宋体" w:eastAsia="宋体" w:cs="宋体"/>
                <w:b w:val="0"/>
                <w:bCs/>
                <w:sz w:val="18"/>
                <w:szCs w:val="18"/>
              </w:rPr>
            </w:pP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司法局、</w:t>
            </w: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直各行政执法</w:t>
            </w:r>
            <w:r>
              <w:rPr>
                <w:rFonts w:hint="eastAsia" w:cs="宋体"/>
                <w:b w:val="0"/>
                <w:bCs/>
                <w:spacing w:val="-11"/>
                <w:sz w:val="18"/>
                <w:szCs w:val="18"/>
                <w:lang w:eastAsia="zh-CN"/>
              </w:rPr>
              <w:t>部门</w:t>
            </w:r>
            <w:r>
              <w:rPr>
                <w:rFonts w:hint="eastAsia" w:ascii="宋体" w:hAnsi="宋体" w:eastAsia="宋体" w:cs="宋体"/>
                <w:b w:val="0"/>
                <w:bCs/>
                <w:spacing w:val="-11"/>
                <w:sz w:val="18"/>
                <w:szCs w:val="18"/>
              </w:rPr>
              <w:t>、</w:t>
            </w:r>
            <w:r>
              <w:rPr>
                <w:rFonts w:hint="eastAsia" w:ascii="宋体" w:hAnsi="宋体" w:eastAsia="宋体" w:cs="宋体"/>
                <w:b w:val="0"/>
                <w:bCs/>
                <w:sz w:val="18"/>
                <w:szCs w:val="18"/>
              </w:rPr>
              <w:t>各乡镇按职责分工负责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9" w:type="dxa"/>
            <w:gridSpan w:val="3"/>
            <w:vMerge w:val="continue"/>
            <w:vAlign w:val="center"/>
          </w:tcPr>
          <w:p>
            <w:pPr>
              <w:pStyle w:val="3"/>
              <w:spacing w:before="0" w:beforeAutospacing="0" w:after="0" w:afterAutospacing="0" w:line="220" w:lineRule="exact"/>
              <w:jc w:val="center"/>
              <w:outlineLvl w:val="2"/>
              <w:rPr>
                <w:rFonts w:hint="eastAsia" w:ascii="宋体" w:hAnsi="宋体" w:eastAsia="宋体" w:cs="宋体"/>
                <w:b w:val="0"/>
                <w:bCs/>
                <w:sz w:val="18"/>
                <w:szCs w:val="18"/>
              </w:rPr>
            </w:pPr>
          </w:p>
        </w:tc>
        <w:tc>
          <w:tcPr>
            <w:tcW w:w="1035" w:type="dxa"/>
            <w:vMerge w:val="continue"/>
            <w:vAlign w:val="center"/>
          </w:tcPr>
          <w:p>
            <w:pPr>
              <w:pStyle w:val="3"/>
              <w:keepNext w:val="0"/>
              <w:keepLines w:val="0"/>
              <w:pageBreakBefore w:val="0"/>
              <w:widowControl w:val="0"/>
              <w:kinsoku w:val="0"/>
              <w:wordWrap/>
              <w:overflowPunct/>
              <w:topLinePunct w:val="0"/>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（3</w:t>
            </w:r>
            <w:r>
              <w:rPr>
                <w:rFonts w:hint="eastAsia" w:ascii="宋体" w:hAnsi="宋体" w:eastAsia="宋体" w:cs="宋体"/>
                <w:b w:val="0"/>
                <w:bCs/>
                <w:sz w:val="18"/>
                <w:szCs w:val="18"/>
                <w:lang w:val="en-US" w:eastAsia="zh-CN"/>
              </w:rPr>
              <w:t>5</w:t>
            </w:r>
            <w:r>
              <w:rPr>
                <w:rFonts w:hint="eastAsia" w:ascii="宋体" w:hAnsi="宋体" w:eastAsia="宋体" w:cs="宋体"/>
                <w:b w:val="0"/>
                <w:bCs/>
                <w:sz w:val="18"/>
                <w:szCs w:val="18"/>
              </w:rPr>
              <w:t>）健全行政执法考核评价指标体系</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研究制定科学、合理的行政执法考核评价指标体系，提高相关指标的针对性、约束力。</w:t>
            </w:r>
          </w:p>
        </w:tc>
        <w:tc>
          <w:tcPr>
            <w:tcW w:w="794" w:type="dxa"/>
            <w:vMerge w:val="continue"/>
            <w:vAlign w:val="center"/>
          </w:tcPr>
          <w:p>
            <w:pPr>
              <w:pStyle w:val="3"/>
              <w:spacing w:before="0" w:beforeAutospacing="0" w:after="0" w:afterAutospacing="0" w:line="220" w:lineRule="exact"/>
              <w:jc w:val="both"/>
              <w:outlineLvl w:val="2"/>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9" w:type="dxa"/>
            <w:gridSpan w:val="3"/>
            <w:vMerge w:val="continue"/>
            <w:vAlign w:val="center"/>
          </w:tcPr>
          <w:p>
            <w:pPr>
              <w:pStyle w:val="3"/>
              <w:spacing w:before="0" w:beforeAutospacing="0" w:after="0" w:afterAutospacing="0" w:line="220" w:lineRule="exact"/>
              <w:jc w:val="center"/>
              <w:outlineLvl w:val="2"/>
              <w:rPr>
                <w:rFonts w:hint="eastAsia" w:ascii="宋体" w:hAnsi="宋体" w:eastAsia="宋体" w:cs="宋体"/>
                <w:b w:val="0"/>
                <w:bCs/>
                <w:sz w:val="18"/>
                <w:szCs w:val="18"/>
              </w:rPr>
            </w:pPr>
          </w:p>
        </w:tc>
        <w:tc>
          <w:tcPr>
            <w:tcW w:w="1035" w:type="dxa"/>
            <w:vMerge w:val="restart"/>
            <w:vAlign w:val="center"/>
          </w:tcPr>
          <w:p>
            <w:pPr>
              <w:pStyle w:val="3"/>
              <w:keepNext w:val="0"/>
              <w:keepLines w:val="0"/>
              <w:pageBreakBefore w:val="0"/>
              <w:widowControl w:val="0"/>
              <w:numPr>
                <w:ilvl w:val="0"/>
                <w:numId w:val="3"/>
              </w:numPr>
              <w:kinsoku w:val="0"/>
              <w:wordWrap/>
              <w:overflowPunct/>
              <w:topLinePunct w:val="0"/>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创新行政执法监督方式</w:t>
            </w: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（3</w:t>
            </w:r>
            <w:r>
              <w:rPr>
                <w:rFonts w:hint="eastAsia" w:ascii="宋体" w:hAnsi="宋体" w:eastAsia="宋体" w:cs="宋体"/>
                <w:b w:val="0"/>
                <w:bCs/>
                <w:sz w:val="18"/>
                <w:szCs w:val="18"/>
                <w:lang w:val="en-US" w:eastAsia="zh-CN"/>
              </w:rPr>
              <w:t>6</w:t>
            </w:r>
            <w:r>
              <w:rPr>
                <w:rFonts w:hint="eastAsia" w:ascii="宋体" w:hAnsi="宋体" w:eastAsia="宋体" w:cs="宋体"/>
                <w:b w:val="0"/>
                <w:bCs/>
                <w:sz w:val="18"/>
                <w:szCs w:val="18"/>
              </w:rPr>
              <w:t>）创新行政执法监督具体举措</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综合运用行政执法工作报告、统计分析、评议考核、案卷评查等方式，对行政执法工作情况开展经常性监督。积极探索完善重大行政执法案件专项监督调查处理机制。</w:t>
            </w:r>
          </w:p>
        </w:tc>
        <w:tc>
          <w:tcPr>
            <w:tcW w:w="794" w:type="dxa"/>
            <w:vMerge w:val="continue"/>
            <w:vAlign w:val="center"/>
          </w:tcPr>
          <w:p>
            <w:pPr>
              <w:pStyle w:val="3"/>
              <w:spacing w:before="0" w:beforeAutospacing="0" w:after="0" w:afterAutospacing="0" w:line="220" w:lineRule="exact"/>
              <w:jc w:val="both"/>
              <w:outlineLvl w:val="2"/>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49" w:type="dxa"/>
            <w:gridSpan w:val="3"/>
            <w:vMerge w:val="continue"/>
            <w:vAlign w:val="center"/>
          </w:tcPr>
          <w:p>
            <w:pPr>
              <w:pStyle w:val="3"/>
              <w:spacing w:before="0" w:beforeAutospacing="0" w:after="0" w:afterAutospacing="0" w:line="220" w:lineRule="exact"/>
              <w:jc w:val="center"/>
              <w:outlineLvl w:val="2"/>
              <w:rPr>
                <w:rFonts w:hint="eastAsia" w:ascii="宋体" w:hAnsi="宋体" w:eastAsia="宋体" w:cs="宋体"/>
                <w:b w:val="0"/>
                <w:bCs/>
                <w:sz w:val="18"/>
                <w:szCs w:val="18"/>
              </w:rPr>
            </w:pPr>
          </w:p>
        </w:tc>
        <w:tc>
          <w:tcPr>
            <w:tcW w:w="1035" w:type="dxa"/>
            <w:vMerge w:val="continue"/>
            <w:vAlign w:val="center"/>
          </w:tcPr>
          <w:p>
            <w:pPr>
              <w:pStyle w:val="3"/>
              <w:keepNext w:val="0"/>
              <w:keepLines w:val="0"/>
              <w:pageBreakBefore w:val="0"/>
              <w:widowControl w:val="0"/>
              <w:kinsoku w:val="0"/>
              <w:wordWrap/>
              <w:overflowPunct/>
              <w:topLinePunct w:val="0"/>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（3</w:t>
            </w:r>
            <w:r>
              <w:rPr>
                <w:rFonts w:hint="eastAsia" w:ascii="宋体" w:hAnsi="宋体" w:eastAsia="宋体" w:cs="宋体"/>
                <w:b w:val="0"/>
                <w:bCs/>
                <w:sz w:val="18"/>
                <w:szCs w:val="18"/>
                <w:lang w:val="en-US" w:eastAsia="zh-CN"/>
              </w:rPr>
              <w:t>7</w:t>
            </w:r>
            <w:r>
              <w:rPr>
                <w:rFonts w:hint="eastAsia" w:ascii="宋体" w:hAnsi="宋体" w:eastAsia="宋体" w:cs="宋体"/>
                <w:b w:val="0"/>
                <w:bCs/>
                <w:sz w:val="18"/>
                <w:szCs w:val="18"/>
              </w:rPr>
              <w:t>）加强行政执法外部监督</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落实行政执法监督员和行政执法监督联系点制度，建立行政执法监督与12345政务服务便民热线等监督渠道的信息共享机制。</w:t>
            </w:r>
          </w:p>
        </w:tc>
        <w:tc>
          <w:tcPr>
            <w:tcW w:w="794" w:type="dxa"/>
            <w:vMerge w:val="continue"/>
            <w:vAlign w:val="center"/>
          </w:tcPr>
          <w:p>
            <w:pPr>
              <w:pStyle w:val="3"/>
              <w:spacing w:before="0" w:beforeAutospacing="0" w:after="0" w:afterAutospacing="0" w:line="220" w:lineRule="exact"/>
              <w:jc w:val="both"/>
              <w:outlineLvl w:val="2"/>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49" w:type="dxa"/>
            <w:gridSpan w:val="3"/>
            <w:vMerge w:val="continue"/>
            <w:vAlign w:val="center"/>
          </w:tcPr>
          <w:p>
            <w:pPr>
              <w:pStyle w:val="3"/>
              <w:spacing w:before="0" w:beforeAutospacing="0" w:after="0" w:afterAutospacing="0" w:line="220" w:lineRule="exact"/>
              <w:jc w:val="center"/>
              <w:outlineLvl w:val="2"/>
              <w:rPr>
                <w:rFonts w:hint="eastAsia" w:ascii="宋体" w:hAnsi="宋体" w:eastAsia="宋体" w:cs="宋体"/>
                <w:b w:val="0"/>
                <w:bCs/>
                <w:sz w:val="18"/>
                <w:szCs w:val="18"/>
              </w:rPr>
            </w:pPr>
          </w:p>
        </w:tc>
        <w:tc>
          <w:tcPr>
            <w:tcW w:w="1035" w:type="dxa"/>
            <w:vMerge w:val="continue"/>
            <w:vAlign w:val="center"/>
          </w:tcPr>
          <w:p>
            <w:pPr>
              <w:pStyle w:val="3"/>
              <w:keepNext w:val="0"/>
              <w:keepLines w:val="0"/>
              <w:pageBreakBefore w:val="0"/>
              <w:widowControl w:val="0"/>
              <w:kinsoku w:val="0"/>
              <w:wordWrap/>
              <w:overflowPunct/>
              <w:topLinePunct w:val="0"/>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（3</w:t>
            </w:r>
            <w:r>
              <w:rPr>
                <w:rFonts w:hint="eastAsia" w:ascii="宋体" w:hAnsi="宋体" w:eastAsia="宋体" w:cs="宋体"/>
                <w:b w:val="0"/>
                <w:bCs/>
                <w:sz w:val="18"/>
                <w:szCs w:val="18"/>
                <w:lang w:val="en-US" w:eastAsia="zh-CN"/>
              </w:rPr>
              <w:t>8</w:t>
            </w:r>
            <w:r>
              <w:rPr>
                <w:rFonts w:hint="eastAsia" w:ascii="宋体" w:hAnsi="宋体" w:eastAsia="宋体" w:cs="宋体"/>
                <w:b w:val="0"/>
                <w:bCs/>
                <w:sz w:val="18"/>
                <w:szCs w:val="18"/>
              </w:rPr>
              <w:t>）推动各级政府及部门的行政执法监督机构积极履职</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司法局要制定年度行政执法监督工作方案，代表</w:t>
            </w:r>
            <w:r>
              <w:rPr>
                <w:rFonts w:hint="eastAsia" w:cs="宋体"/>
                <w:b w:val="0"/>
                <w:bCs/>
                <w:sz w:val="18"/>
                <w:szCs w:val="18"/>
                <w:lang w:eastAsia="zh-CN"/>
              </w:rPr>
              <w:t>县</w:t>
            </w:r>
            <w:r>
              <w:rPr>
                <w:rFonts w:hint="eastAsia" w:ascii="宋体" w:hAnsi="宋体" w:eastAsia="宋体" w:cs="宋体"/>
                <w:b w:val="0"/>
                <w:bCs/>
                <w:sz w:val="18"/>
                <w:szCs w:val="18"/>
              </w:rPr>
              <w:t>政府对</w:t>
            </w:r>
            <w:r>
              <w:rPr>
                <w:rFonts w:hint="eastAsia" w:cs="宋体"/>
                <w:b w:val="0"/>
                <w:bCs/>
                <w:sz w:val="18"/>
                <w:szCs w:val="18"/>
                <w:lang w:eastAsia="zh-CN"/>
              </w:rPr>
              <w:t>全县</w:t>
            </w:r>
            <w:r>
              <w:rPr>
                <w:rFonts w:hint="eastAsia" w:ascii="宋体" w:hAnsi="宋体" w:eastAsia="宋体" w:cs="宋体"/>
                <w:b w:val="0"/>
                <w:bCs/>
                <w:sz w:val="18"/>
                <w:szCs w:val="18"/>
              </w:rPr>
              <w:t>行政执法工作进行全方位、全流程监督。</w:t>
            </w: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司法局承担行政执法监督职责的机构，要加强对</w:t>
            </w:r>
            <w:r>
              <w:rPr>
                <w:rFonts w:hint="eastAsia" w:cs="宋体"/>
                <w:b w:val="0"/>
                <w:bCs/>
                <w:sz w:val="18"/>
                <w:szCs w:val="18"/>
                <w:lang w:eastAsia="zh-CN"/>
              </w:rPr>
              <w:t>全县</w:t>
            </w:r>
            <w:r>
              <w:rPr>
                <w:rFonts w:hint="eastAsia" w:ascii="宋体" w:hAnsi="宋体" w:eastAsia="宋体" w:cs="宋体"/>
                <w:b w:val="0"/>
                <w:bCs/>
                <w:sz w:val="18"/>
                <w:szCs w:val="18"/>
              </w:rPr>
              <w:t>行政执法工作和重大行政执法案件的统筹协调、监督指导。</w:t>
            </w:r>
          </w:p>
        </w:tc>
        <w:tc>
          <w:tcPr>
            <w:tcW w:w="794" w:type="dxa"/>
            <w:vMerge w:val="continue"/>
            <w:vAlign w:val="center"/>
          </w:tcPr>
          <w:p>
            <w:pPr>
              <w:pStyle w:val="3"/>
              <w:spacing w:before="0" w:beforeAutospacing="0" w:after="0" w:afterAutospacing="0" w:line="220" w:lineRule="exact"/>
              <w:jc w:val="both"/>
              <w:outlineLvl w:val="2"/>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49" w:type="dxa"/>
            <w:gridSpan w:val="3"/>
            <w:vMerge w:val="restart"/>
            <w:vAlign w:val="center"/>
          </w:tcPr>
          <w:p>
            <w:pPr>
              <w:pStyle w:val="3"/>
              <w:numPr>
                <w:ilvl w:val="0"/>
                <w:numId w:val="4"/>
              </w:numPr>
              <w:spacing w:before="0" w:beforeAutospacing="0" w:after="0" w:afterAutospacing="0" w:line="220" w:lineRule="exact"/>
              <w:jc w:val="center"/>
              <w:outlineLvl w:val="2"/>
              <w:rPr>
                <w:rFonts w:hint="eastAsia" w:ascii="宋体" w:hAnsi="宋体" w:eastAsia="宋体" w:cs="宋体"/>
                <w:b w:val="0"/>
                <w:bCs/>
                <w:sz w:val="18"/>
                <w:szCs w:val="18"/>
              </w:rPr>
            </w:pPr>
          </w:p>
          <w:p>
            <w:pPr>
              <w:pStyle w:val="3"/>
              <w:spacing w:before="0" w:beforeAutospacing="0" w:after="0" w:afterAutospacing="0" w:line="220" w:lineRule="exact"/>
              <w:jc w:val="center"/>
              <w:outlineLvl w:val="2"/>
              <w:rPr>
                <w:rFonts w:hint="eastAsia" w:ascii="宋体" w:hAnsi="宋体" w:eastAsia="宋体" w:cs="宋体"/>
                <w:b w:val="0"/>
                <w:bCs/>
                <w:sz w:val="18"/>
                <w:szCs w:val="18"/>
              </w:rPr>
            </w:pPr>
            <w:r>
              <w:rPr>
                <w:rFonts w:hint="eastAsia" w:ascii="宋体" w:hAnsi="宋体" w:eastAsia="宋体" w:cs="宋体"/>
                <w:b w:val="0"/>
                <w:bCs/>
                <w:sz w:val="18"/>
                <w:szCs w:val="18"/>
              </w:rPr>
              <w:t>健全</w:t>
            </w:r>
          </w:p>
          <w:p>
            <w:pPr>
              <w:pStyle w:val="3"/>
              <w:spacing w:before="0" w:beforeAutospacing="0" w:after="0" w:afterAutospacing="0" w:line="220" w:lineRule="exact"/>
              <w:jc w:val="center"/>
              <w:outlineLvl w:val="2"/>
              <w:rPr>
                <w:rFonts w:hint="eastAsia" w:ascii="宋体" w:hAnsi="宋体" w:eastAsia="宋体" w:cs="宋体"/>
                <w:b w:val="0"/>
                <w:bCs/>
                <w:sz w:val="18"/>
                <w:szCs w:val="18"/>
              </w:rPr>
            </w:pPr>
            <w:r>
              <w:rPr>
                <w:rFonts w:hint="eastAsia" w:ascii="宋体" w:hAnsi="宋体" w:eastAsia="宋体" w:cs="宋体"/>
                <w:b w:val="0"/>
                <w:bCs/>
                <w:sz w:val="18"/>
                <w:szCs w:val="18"/>
              </w:rPr>
              <w:t>行政</w:t>
            </w:r>
          </w:p>
          <w:p>
            <w:pPr>
              <w:pStyle w:val="3"/>
              <w:spacing w:before="0" w:beforeAutospacing="0" w:after="0" w:afterAutospacing="0" w:line="220" w:lineRule="exact"/>
              <w:jc w:val="center"/>
              <w:outlineLvl w:val="2"/>
              <w:rPr>
                <w:rFonts w:hint="eastAsia" w:ascii="宋体" w:hAnsi="宋体" w:eastAsia="宋体" w:cs="宋体"/>
                <w:b w:val="0"/>
                <w:bCs/>
                <w:sz w:val="18"/>
                <w:szCs w:val="18"/>
              </w:rPr>
            </w:pPr>
            <w:r>
              <w:rPr>
                <w:rFonts w:hint="eastAsia" w:ascii="宋体" w:hAnsi="宋体" w:eastAsia="宋体" w:cs="宋体"/>
                <w:b w:val="0"/>
                <w:bCs/>
                <w:sz w:val="18"/>
                <w:szCs w:val="18"/>
              </w:rPr>
              <w:t>执法</w:t>
            </w:r>
          </w:p>
          <w:p>
            <w:pPr>
              <w:pStyle w:val="3"/>
              <w:spacing w:before="0" w:beforeAutospacing="0" w:after="0" w:afterAutospacing="0" w:line="220" w:lineRule="exact"/>
              <w:jc w:val="center"/>
              <w:outlineLvl w:val="2"/>
              <w:rPr>
                <w:rFonts w:hint="eastAsia" w:ascii="宋体" w:hAnsi="宋体" w:eastAsia="宋体" w:cs="宋体"/>
                <w:b w:val="0"/>
                <w:bCs/>
                <w:sz w:val="18"/>
                <w:szCs w:val="18"/>
              </w:rPr>
            </w:pPr>
            <w:r>
              <w:rPr>
                <w:rFonts w:hint="eastAsia" w:ascii="宋体" w:hAnsi="宋体" w:eastAsia="宋体" w:cs="宋体"/>
                <w:b w:val="0"/>
                <w:bCs/>
                <w:sz w:val="18"/>
                <w:szCs w:val="18"/>
              </w:rPr>
              <w:t>和行</w:t>
            </w:r>
          </w:p>
          <w:p>
            <w:pPr>
              <w:pStyle w:val="3"/>
              <w:spacing w:before="0" w:beforeAutospacing="0" w:after="0" w:afterAutospacing="0" w:line="220" w:lineRule="exact"/>
              <w:jc w:val="center"/>
              <w:outlineLvl w:val="2"/>
              <w:rPr>
                <w:rFonts w:hint="eastAsia" w:ascii="宋体" w:hAnsi="宋体" w:eastAsia="宋体" w:cs="宋体"/>
                <w:b w:val="0"/>
                <w:bCs/>
                <w:sz w:val="18"/>
                <w:szCs w:val="18"/>
              </w:rPr>
            </w:pPr>
            <w:r>
              <w:rPr>
                <w:rFonts w:hint="eastAsia" w:ascii="宋体" w:hAnsi="宋体" w:eastAsia="宋体" w:cs="宋体"/>
                <w:b w:val="0"/>
                <w:bCs/>
                <w:sz w:val="18"/>
                <w:szCs w:val="18"/>
              </w:rPr>
              <w:t>政执</w:t>
            </w:r>
          </w:p>
          <w:p>
            <w:pPr>
              <w:pStyle w:val="3"/>
              <w:spacing w:before="0" w:beforeAutospacing="0" w:after="0" w:afterAutospacing="0" w:line="220" w:lineRule="exact"/>
              <w:jc w:val="center"/>
              <w:outlineLvl w:val="2"/>
              <w:rPr>
                <w:rFonts w:hint="eastAsia" w:ascii="宋体" w:hAnsi="宋体" w:eastAsia="宋体" w:cs="宋体"/>
                <w:b w:val="0"/>
                <w:bCs/>
                <w:sz w:val="18"/>
                <w:szCs w:val="18"/>
              </w:rPr>
            </w:pPr>
            <w:r>
              <w:rPr>
                <w:rFonts w:hint="eastAsia" w:ascii="宋体" w:hAnsi="宋体" w:eastAsia="宋体" w:cs="宋体"/>
                <w:b w:val="0"/>
                <w:bCs/>
                <w:sz w:val="18"/>
                <w:szCs w:val="18"/>
              </w:rPr>
              <w:t>法监</w:t>
            </w:r>
          </w:p>
          <w:p>
            <w:pPr>
              <w:pStyle w:val="3"/>
              <w:spacing w:before="0" w:beforeAutospacing="0" w:after="0" w:afterAutospacing="0" w:line="220" w:lineRule="exact"/>
              <w:jc w:val="center"/>
              <w:outlineLvl w:val="2"/>
              <w:rPr>
                <w:rFonts w:hint="eastAsia" w:ascii="宋体" w:hAnsi="宋体" w:eastAsia="宋体" w:cs="宋体"/>
                <w:b w:val="0"/>
                <w:bCs/>
                <w:sz w:val="18"/>
                <w:szCs w:val="18"/>
              </w:rPr>
            </w:pPr>
            <w:r>
              <w:rPr>
                <w:rFonts w:hint="eastAsia" w:ascii="宋体" w:hAnsi="宋体" w:eastAsia="宋体" w:cs="宋体"/>
                <w:b w:val="0"/>
                <w:bCs/>
                <w:sz w:val="18"/>
                <w:szCs w:val="18"/>
              </w:rPr>
              <w:t>督科</w:t>
            </w:r>
          </w:p>
          <w:p>
            <w:pPr>
              <w:pStyle w:val="3"/>
              <w:spacing w:before="0" w:beforeAutospacing="0" w:after="0" w:afterAutospacing="0" w:line="220" w:lineRule="exact"/>
              <w:jc w:val="center"/>
              <w:outlineLvl w:val="2"/>
              <w:rPr>
                <w:rFonts w:hint="eastAsia" w:ascii="宋体" w:hAnsi="宋体" w:eastAsia="宋体" w:cs="宋体"/>
                <w:b w:val="0"/>
                <w:bCs/>
                <w:sz w:val="18"/>
                <w:szCs w:val="18"/>
              </w:rPr>
            </w:pPr>
            <w:r>
              <w:rPr>
                <w:rFonts w:hint="eastAsia" w:ascii="宋体" w:hAnsi="宋体" w:eastAsia="宋体" w:cs="宋体"/>
                <w:b w:val="0"/>
                <w:bCs/>
                <w:sz w:val="18"/>
                <w:szCs w:val="18"/>
              </w:rPr>
              <w:t>技保</w:t>
            </w:r>
          </w:p>
          <w:p>
            <w:pPr>
              <w:pStyle w:val="3"/>
              <w:spacing w:before="0" w:beforeAutospacing="0" w:after="0" w:afterAutospacing="0" w:line="220" w:lineRule="exact"/>
              <w:jc w:val="center"/>
              <w:outlineLvl w:val="2"/>
              <w:rPr>
                <w:rFonts w:hint="eastAsia" w:ascii="宋体" w:hAnsi="宋体" w:eastAsia="宋体" w:cs="宋体"/>
                <w:b w:val="0"/>
                <w:bCs/>
                <w:sz w:val="18"/>
                <w:szCs w:val="18"/>
              </w:rPr>
            </w:pPr>
            <w:r>
              <w:rPr>
                <w:rFonts w:hint="eastAsia" w:ascii="宋体" w:hAnsi="宋体" w:eastAsia="宋体" w:cs="宋体"/>
                <w:b w:val="0"/>
                <w:bCs/>
                <w:sz w:val="18"/>
                <w:szCs w:val="18"/>
              </w:rPr>
              <w:t>障体</w:t>
            </w:r>
          </w:p>
          <w:p>
            <w:pPr>
              <w:pStyle w:val="3"/>
              <w:spacing w:before="0" w:beforeAutospacing="0" w:after="0" w:afterAutospacing="0" w:line="220" w:lineRule="exact"/>
              <w:jc w:val="center"/>
              <w:outlineLvl w:val="2"/>
              <w:rPr>
                <w:rFonts w:hint="eastAsia" w:ascii="宋体" w:hAnsi="宋体" w:eastAsia="宋体" w:cs="宋体"/>
                <w:b w:val="0"/>
                <w:bCs/>
                <w:sz w:val="18"/>
                <w:szCs w:val="18"/>
              </w:rPr>
            </w:pPr>
            <w:r>
              <w:rPr>
                <w:rFonts w:hint="eastAsia" w:ascii="宋体" w:hAnsi="宋体" w:eastAsia="宋体" w:cs="宋体"/>
                <w:b w:val="0"/>
                <w:bCs/>
                <w:sz w:val="18"/>
                <w:szCs w:val="18"/>
              </w:rPr>
              <w:t>系</w:t>
            </w:r>
          </w:p>
        </w:tc>
        <w:tc>
          <w:tcPr>
            <w:tcW w:w="1035" w:type="dxa"/>
            <w:vMerge w:val="restart"/>
            <w:vAlign w:val="center"/>
          </w:tcPr>
          <w:p>
            <w:pPr>
              <w:pStyle w:val="3"/>
              <w:keepNext w:val="0"/>
              <w:keepLines w:val="0"/>
              <w:pageBreakBefore w:val="0"/>
              <w:widowControl w:val="0"/>
              <w:numPr>
                <w:ilvl w:val="0"/>
                <w:numId w:val="5"/>
              </w:numPr>
              <w:kinsoku w:val="0"/>
              <w:wordWrap/>
              <w:overflowPunct/>
              <w:topLinePunct w:val="0"/>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推进行政执法和行政执法监督信息系统建设</w:t>
            </w: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w:t>
            </w:r>
            <w:r>
              <w:rPr>
                <w:rFonts w:hint="eastAsia" w:ascii="宋体" w:hAnsi="宋体" w:eastAsia="宋体" w:cs="宋体"/>
                <w:b w:val="0"/>
                <w:bCs/>
                <w:sz w:val="18"/>
                <w:szCs w:val="18"/>
                <w:lang w:val="en-US" w:eastAsia="zh-CN"/>
              </w:rPr>
              <w:t>39</w:t>
            </w:r>
            <w:r>
              <w:rPr>
                <w:rFonts w:hint="eastAsia" w:ascii="宋体" w:hAnsi="宋体" w:eastAsia="宋体" w:cs="宋体"/>
                <w:b w:val="0"/>
                <w:bCs/>
                <w:sz w:val="18"/>
                <w:szCs w:val="18"/>
              </w:rPr>
              <w:t>）推进平台建设和应用</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rPr>
              <w:t>按照国家统筹、省级组织、省市两级集中部署、省市县乡四级一体化应用方式，</w:t>
            </w: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司法局要根据省、市要求统一安排</w:t>
            </w:r>
            <w:r>
              <w:rPr>
                <w:rFonts w:hint="eastAsia" w:cs="宋体"/>
                <w:b w:val="0"/>
                <w:bCs/>
                <w:sz w:val="18"/>
                <w:szCs w:val="18"/>
                <w:lang w:eastAsia="zh-CN"/>
              </w:rPr>
              <w:t>，</w:t>
            </w:r>
            <w:r>
              <w:rPr>
                <w:rFonts w:hint="eastAsia" w:ascii="宋体" w:hAnsi="宋体" w:eastAsia="宋体" w:cs="宋体"/>
                <w:b w:val="0"/>
                <w:bCs/>
                <w:sz w:val="18"/>
                <w:szCs w:val="18"/>
              </w:rPr>
              <w:t>牵头推进行政执法和行政执法监督一体化平台集约化建设和部署应用。</w:t>
            </w:r>
          </w:p>
        </w:tc>
        <w:tc>
          <w:tcPr>
            <w:tcW w:w="794" w:type="dxa"/>
            <w:vMerge w:val="restart"/>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00" w:lineRule="exact"/>
              <w:jc w:val="both"/>
              <w:textAlignment w:val="baseline"/>
              <w:outlineLvl w:val="2"/>
              <w:rPr>
                <w:rFonts w:hint="eastAsia" w:ascii="宋体" w:hAnsi="宋体" w:eastAsia="宋体" w:cs="宋体"/>
                <w:b w:val="0"/>
                <w:bCs/>
                <w:sz w:val="18"/>
                <w:szCs w:val="18"/>
              </w:rPr>
            </w:pP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司法</w:t>
            </w:r>
            <w:r>
              <w:rPr>
                <w:rFonts w:hint="eastAsia" w:ascii="宋体" w:hAnsi="宋体" w:eastAsia="宋体" w:cs="宋体"/>
                <w:b w:val="0"/>
                <w:bCs/>
                <w:spacing w:val="-11"/>
                <w:sz w:val="18"/>
                <w:szCs w:val="18"/>
              </w:rPr>
              <w:t>局、</w:t>
            </w:r>
            <w:r>
              <w:rPr>
                <w:rFonts w:hint="eastAsia" w:ascii="宋体" w:hAnsi="宋体" w:eastAsia="宋体" w:cs="宋体"/>
                <w:b w:val="0"/>
                <w:bCs/>
                <w:spacing w:val="-11"/>
                <w:sz w:val="18"/>
                <w:szCs w:val="18"/>
                <w:lang w:eastAsia="zh-CN"/>
              </w:rPr>
              <w:t>县</w:t>
            </w:r>
            <w:r>
              <w:rPr>
                <w:rFonts w:hint="eastAsia" w:ascii="宋体" w:hAnsi="宋体" w:eastAsia="宋体" w:cs="宋体"/>
                <w:b w:val="0"/>
                <w:bCs/>
                <w:sz w:val="18"/>
                <w:szCs w:val="18"/>
              </w:rPr>
              <w:t>财政局、</w:t>
            </w: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行政审批局、</w:t>
            </w:r>
            <w:r>
              <w:rPr>
                <w:rFonts w:hint="eastAsia" w:ascii="宋体" w:hAnsi="宋体" w:eastAsia="宋体" w:cs="宋体"/>
                <w:b w:val="0"/>
                <w:bCs/>
                <w:sz w:val="18"/>
                <w:szCs w:val="18"/>
                <w:lang w:eastAsia="zh-CN"/>
              </w:rPr>
              <w:t>县</w:t>
            </w:r>
            <w:r>
              <w:rPr>
                <w:rFonts w:hint="eastAsia" w:ascii="宋体" w:hAnsi="宋体" w:eastAsia="宋体" w:cs="宋体"/>
                <w:b w:val="0"/>
                <w:bCs/>
                <w:sz w:val="18"/>
                <w:szCs w:val="18"/>
              </w:rPr>
              <w:t>直各行政执法</w:t>
            </w:r>
            <w:r>
              <w:rPr>
                <w:rFonts w:hint="eastAsia" w:cs="宋体"/>
                <w:b w:val="0"/>
                <w:bCs/>
                <w:spacing w:val="-11"/>
                <w:sz w:val="18"/>
                <w:szCs w:val="18"/>
                <w:lang w:eastAsia="zh-CN"/>
              </w:rPr>
              <w:t>部门</w:t>
            </w:r>
            <w:r>
              <w:rPr>
                <w:rFonts w:hint="eastAsia" w:ascii="宋体" w:hAnsi="宋体" w:eastAsia="宋体" w:cs="宋体"/>
                <w:b w:val="0"/>
                <w:bCs/>
                <w:spacing w:val="-11"/>
                <w:sz w:val="18"/>
                <w:szCs w:val="18"/>
              </w:rPr>
              <w:t>、</w:t>
            </w:r>
            <w:r>
              <w:rPr>
                <w:rFonts w:hint="eastAsia" w:ascii="宋体" w:hAnsi="宋体" w:eastAsia="宋体" w:cs="宋体"/>
                <w:b w:val="0"/>
                <w:bCs/>
                <w:sz w:val="18"/>
                <w:szCs w:val="18"/>
              </w:rPr>
              <w:t>各乡镇按职责分工负责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49" w:type="dxa"/>
            <w:gridSpan w:val="3"/>
            <w:vMerge w:val="continue"/>
            <w:vAlign w:val="center"/>
          </w:tcPr>
          <w:p>
            <w:pPr>
              <w:pStyle w:val="3"/>
              <w:spacing w:before="0" w:beforeAutospacing="0" w:after="0" w:afterAutospacing="0" w:line="220" w:lineRule="exact"/>
              <w:jc w:val="both"/>
              <w:outlineLvl w:val="2"/>
              <w:rPr>
                <w:rFonts w:hint="default" w:cs="宋体"/>
                <w:sz w:val="18"/>
                <w:szCs w:val="18"/>
              </w:rPr>
            </w:pPr>
          </w:p>
        </w:tc>
        <w:tc>
          <w:tcPr>
            <w:tcW w:w="1035" w:type="dxa"/>
            <w:vMerge w:val="continue"/>
            <w:vAlign w:val="center"/>
          </w:tcPr>
          <w:p>
            <w:pPr>
              <w:pStyle w:val="3"/>
              <w:keepNext w:val="0"/>
              <w:keepLines w:val="0"/>
              <w:pageBreakBefore w:val="0"/>
              <w:widowControl w:val="0"/>
              <w:kinsoku w:val="0"/>
              <w:wordWrap/>
              <w:overflowPunct/>
              <w:topLinePunct w:val="0"/>
              <w:autoSpaceDE w:val="0"/>
              <w:autoSpaceDN w:val="0"/>
              <w:bidi w:val="0"/>
              <w:adjustRightInd/>
              <w:snapToGrid/>
              <w:spacing w:before="0" w:beforeAutospacing="0" w:after="0" w:afterAutospacing="0" w:line="280" w:lineRule="exact"/>
              <w:jc w:val="both"/>
              <w:textAlignment w:val="baseline"/>
              <w:outlineLvl w:val="2"/>
              <w:rPr>
                <w:rFonts w:hint="default" w:cs="宋体"/>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cs="宋体"/>
                <w:b w:val="0"/>
                <w:bCs/>
                <w:sz w:val="18"/>
                <w:szCs w:val="18"/>
              </w:rPr>
              <w:t>（</w:t>
            </w:r>
            <w:r>
              <w:rPr>
                <w:rFonts w:hint="eastAsia" w:cs="宋体"/>
                <w:b w:val="0"/>
                <w:bCs/>
                <w:sz w:val="18"/>
                <w:szCs w:val="18"/>
                <w:lang w:val="en-US" w:eastAsia="zh-CN"/>
              </w:rPr>
              <w:t>40</w:t>
            </w:r>
            <w:r>
              <w:rPr>
                <w:rFonts w:cs="宋体"/>
                <w:b w:val="0"/>
                <w:bCs/>
                <w:sz w:val="18"/>
                <w:szCs w:val="18"/>
              </w:rPr>
              <w:t>）</w:t>
            </w:r>
            <w:r>
              <w:rPr>
                <w:rFonts w:cs="宋体"/>
                <w:b w:val="0"/>
                <w:bCs/>
                <w:spacing w:val="-5"/>
                <w:sz w:val="18"/>
                <w:szCs w:val="18"/>
              </w:rPr>
              <w:t>强化平台建设的协作配合</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hint="eastAsia" w:cs="宋体"/>
                <w:b w:val="0"/>
                <w:bCs/>
                <w:sz w:val="18"/>
                <w:szCs w:val="18"/>
                <w:lang w:eastAsia="zh-CN"/>
              </w:rPr>
              <w:t>县</w:t>
            </w:r>
            <w:r>
              <w:rPr>
                <w:rFonts w:cs="宋体"/>
                <w:b w:val="0"/>
                <w:bCs/>
                <w:sz w:val="18"/>
                <w:szCs w:val="18"/>
              </w:rPr>
              <w:t>财政</w:t>
            </w:r>
            <w:r>
              <w:rPr>
                <w:rFonts w:hint="eastAsia" w:cs="宋体"/>
                <w:b w:val="0"/>
                <w:bCs/>
                <w:sz w:val="18"/>
                <w:szCs w:val="18"/>
                <w:lang w:eastAsia="zh-CN"/>
              </w:rPr>
              <w:t>局</w:t>
            </w:r>
            <w:r>
              <w:rPr>
                <w:rFonts w:cs="宋体"/>
                <w:b w:val="0"/>
                <w:bCs/>
                <w:sz w:val="18"/>
                <w:szCs w:val="18"/>
              </w:rPr>
              <w:t>、</w:t>
            </w:r>
            <w:r>
              <w:rPr>
                <w:rFonts w:hint="eastAsia" w:cs="宋体"/>
                <w:b w:val="0"/>
                <w:bCs/>
                <w:sz w:val="18"/>
                <w:szCs w:val="18"/>
                <w:lang w:eastAsia="zh-CN"/>
              </w:rPr>
              <w:t>县行政审批局</w:t>
            </w:r>
            <w:r>
              <w:rPr>
                <w:rFonts w:cs="宋体"/>
                <w:b w:val="0"/>
                <w:bCs/>
                <w:sz w:val="18"/>
                <w:szCs w:val="18"/>
              </w:rPr>
              <w:t>等部门要做好协调配合，助力打</w:t>
            </w:r>
            <w:r>
              <w:rPr>
                <w:rFonts w:cs="宋体"/>
                <w:b w:val="0"/>
                <w:bCs/>
                <w:spacing w:val="6"/>
                <w:sz w:val="18"/>
                <w:szCs w:val="18"/>
              </w:rPr>
              <w:t>造省市县乡四级行政执法综合管理平台和行政执法监督平台。</w:t>
            </w:r>
          </w:p>
        </w:tc>
        <w:tc>
          <w:tcPr>
            <w:tcW w:w="794" w:type="dxa"/>
            <w:vMerge w:val="continue"/>
            <w:vAlign w:val="center"/>
          </w:tcPr>
          <w:p>
            <w:pPr>
              <w:pStyle w:val="3"/>
              <w:spacing w:before="0" w:beforeAutospacing="0" w:after="0" w:afterAutospacing="0" w:line="220" w:lineRule="exact"/>
              <w:jc w:val="both"/>
              <w:outlineLvl w:val="2"/>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849" w:type="dxa"/>
            <w:gridSpan w:val="3"/>
            <w:vMerge w:val="continue"/>
            <w:vAlign w:val="center"/>
          </w:tcPr>
          <w:p>
            <w:pPr>
              <w:pStyle w:val="3"/>
              <w:spacing w:before="0" w:beforeAutospacing="0" w:after="0" w:afterAutospacing="0" w:line="220" w:lineRule="exact"/>
              <w:jc w:val="both"/>
              <w:outlineLvl w:val="2"/>
              <w:rPr>
                <w:rFonts w:hint="default" w:cs="宋体"/>
                <w:sz w:val="18"/>
                <w:szCs w:val="18"/>
              </w:rPr>
            </w:pPr>
          </w:p>
        </w:tc>
        <w:tc>
          <w:tcPr>
            <w:tcW w:w="1035" w:type="dxa"/>
            <w:vMerge w:val="continue"/>
            <w:vAlign w:val="center"/>
          </w:tcPr>
          <w:p>
            <w:pPr>
              <w:pStyle w:val="3"/>
              <w:keepNext w:val="0"/>
              <w:keepLines w:val="0"/>
              <w:pageBreakBefore w:val="0"/>
              <w:widowControl w:val="0"/>
              <w:kinsoku w:val="0"/>
              <w:wordWrap/>
              <w:overflowPunct/>
              <w:topLinePunct w:val="0"/>
              <w:autoSpaceDE w:val="0"/>
              <w:autoSpaceDN w:val="0"/>
              <w:bidi w:val="0"/>
              <w:adjustRightInd/>
              <w:snapToGrid/>
              <w:spacing w:before="0" w:beforeAutospacing="0" w:after="0" w:afterAutospacing="0" w:line="280" w:lineRule="exact"/>
              <w:jc w:val="both"/>
              <w:textAlignment w:val="baseline"/>
              <w:outlineLvl w:val="2"/>
              <w:rPr>
                <w:rFonts w:hint="default" w:cs="宋体"/>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cs="宋体"/>
                <w:b w:val="0"/>
                <w:bCs/>
                <w:sz w:val="18"/>
                <w:szCs w:val="18"/>
              </w:rPr>
              <w:t>（</w:t>
            </w:r>
            <w:r>
              <w:rPr>
                <w:rFonts w:hint="eastAsia" w:cs="宋体"/>
                <w:b w:val="0"/>
                <w:bCs/>
                <w:sz w:val="18"/>
                <w:szCs w:val="18"/>
                <w:lang w:val="en-US" w:eastAsia="zh-CN"/>
              </w:rPr>
              <w:t>41</w:t>
            </w:r>
            <w:r>
              <w:rPr>
                <w:rFonts w:cs="宋体"/>
                <w:b w:val="0"/>
                <w:bCs/>
                <w:sz w:val="18"/>
                <w:szCs w:val="18"/>
              </w:rPr>
              <w:t>）推行行政执法移动应用程序掌上执法</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default" w:cs="宋体"/>
                <w:b w:val="0"/>
                <w:bCs/>
                <w:sz w:val="18"/>
                <w:szCs w:val="18"/>
              </w:rPr>
            </w:pPr>
            <w:r>
              <w:rPr>
                <w:rFonts w:hint="eastAsia" w:cs="宋体"/>
                <w:b w:val="0"/>
                <w:bCs/>
                <w:sz w:val="18"/>
                <w:szCs w:val="18"/>
                <w:lang w:eastAsia="zh-CN"/>
              </w:rPr>
              <w:t>县</w:t>
            </w:r>
            <w:r>
              <w:rPr>
                <w:rFonts w:cs="宋体"/>
                <w:b w:val="0"/>
                <w:bCs/>
                <w:sz w:val="18"/>
                <w:szCs w:val="18"/>
              </w:rPr>
              <w:t>直各行政执法</w:t>
            </w:r>
            <w:r>
              <w:rPr>
                <w:rFonts w:hint="eastAsia" w:cs="宋体"/>
                <w:b w:val="0"/>
                <w:bCs/>
                <w:sz w:val="18"/>
                <w:szCs w:val="18"/>
                <w:lang w:eastAsia="zh-CN"/>
              </w:rPr>
              <w:t>部门</w:t>
            </w:r>
            <w:r>
              <w:rPr>
                <w:rFonts w:cs="宋体"/>
                <w:b w:val="0"/>
                <w:bCs/>
                <w:sz w:val="18"/>
                <w:szCs w:val="18"/>
              </w:rPr>
              <w:t>及各乡镇要主动对接应用，加强对行政执法活动的即时性、过程性、系统性管理。推行行政执</w:t>
            </w:r>
            <w:r>
              <w:rPr>
                <w:rFonts w:cs="宋体"/>
                <w:b w:val="0"/>
                <w:bCs/>
                <w:spacing w:val="6"/>
                <w:sz w:val="18"/>
                <w:szCs w:val="18"/>
              </w:rPr>
              <w:t>法移动应用程序（APP）掌上执法，提高行政执法智能化水平。</w:t>
            </w:r>
          </w:p>
        </w:tc>
        <w:tc>
          <w:tcPr>
            <w:tcW w:w="794" w:type="dxa"/>
            <w:vMerge w:val="continue"/>
            <w:vAlign w:val="center"/>
          </w:tcPr>
          <w:p>
            <w:pPr>
              <w:pStyle w:val="3"/>
              <w:spacing w:before="0" w:beforeAutospacing="0" w:after="0" w:afterAutospacing="0" w:line="220" w:lineRule="exact"/>
              <w:jc w:val="both"/>
              <w:outlineLvl w:val="2"/>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308" w:type="dxa"/>
            <w:gridSpan w:val="6"/>
            <w:vAlign w:val="center"/>
          </w:tcPr>
          <w:p>
            <w:pPr>
              <w:pStyle w:val="3"/>
              <w:spacing w:before="0" w:beforeAutospacing="0" w:after="0" w:afterAutospacing="0" w:line="220" w:lineRule="exact"/>
              <w:jc w:val="center"/>
              <w:outlineLvl w:val="2"/>
              <w:rPr>
                <w:rFonts w:hint="eastAsia" w:ascii="黑体" w:hAnsi="黑体" w:eastAsia="黑体" w:cs="黑体"/>
                <w:b w:val="0"/>
                <w:bCs/>
                <w:sz w:val="18"/>
                <w:szCs w:val="18"/>
                <w:lang w:eastAsia="zh-CN"/>
              </w:rPr>
            </w:pPr>
            <w:r>
              <w:rPr>
                <w:rFonts w:hint="eastAsia" w:ascii="黑体" w:hAnsi="黑体" w:eastAsia="黑体" w:cs="黑体"/>
                <w:b w:val="0"/>
                <w:bCs/>
                <w:sz w:val="18"/>
                <w:szCs w:val="18"/>
                <w:lang w:eastAsia="zh-CN"/>
              </w:rPr>
              <w:t>工作任务</w:t>
            </w:r>
          </w:p>
        </w:tc>
        <w:tc>
          <w:tcPr>
            <w:tcW w:w="4736" w:type="dxa"/>
            <w:vMerge w:val="restart"/>
            <w:vAlign w:val="center"/>
          </w:tcPr>
          <w:p>
            <w:pPr>
              <w:pStyle w:val="3"/>
              <w:spacing w:before="0" w:beforeAutospacing="0" w:after="0" w:afterAutospacing="0" w:line="220" w:lineRule="exact"/>
              <w:jc w:val="center"/>
              <w:outlineLvl w:val="2"/>
              <w:rPr>
                <w:rFonts w:hint="eastAsia" w:ascii="黑体" w:hAnsi="黑体" w:eastAsia="黑体" w:cs="黑体"/>
                <w:b w:val="0"/>
                <w:bCs/>
                <w:sz w:val="18"/>
                <w:szCs w:val="18"/>
                <w:lang w:eastAsia="zh-CN"/>
              </w:rPr>
            </w:pPr>
            <w:r>
              <w:rPr>
                <w:rFonts w:hint="eastAsia" w:ascii="黑体" w:hAnsi="黑体" w:eastAsia="黑体" w:cs="黑体"/>
                <w:b w:val="0"/>
                <w:bCs/>
                <w:sz w:val="18"/>
                <w:szCs w:val="18"/>
                <w:lang w:eastAsia="zh-CN"/>
              </w:rPr>
              <w:t>县</w:t>
            </w:r>
            <w:r>
              <w:rPr>
                <w:rFonts w:hint="eastAsia" w:ascii="黑体" w:hAnsi="黑体" w:eastAsia="黑体" w:cs="黑体"/>
                <w:b w:val="0"/>
                <w:bCs/>
                <w:sz w:val="18"/>
                <w:szCs w:val="18"/>
              </w:rPr>
              <w:t>级具体举措</w:t>
            </w:r>
          </w:p>
        </w:tc>
        <w:tc>
          <w:tcPr>
            <w:tcW w:w="794" w:type="dxa"/>
            <w:vMerge w:val="restart"/>
            <w:vAlign w:val="center"/>
          </w:tcPr>
          <w:p>
            <w:pPr>
              <w:pStyle w:val="3"/>
              <w:spacing w:before="0" w:beforeAutospacing="0" w:after="0" w:afterAutospacing="0" w:line="22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责任</w:t>
            </w:r>
          </w:p>
          <w:p>
            <w:pPr>
              <w:pStyle w:val="3"/>
              <w:spacing w:before="0" w:beforeAutospacing="0" w:after="0" w:afterAutospacing="0" w:line="22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49" w:type="dxa"/>
            <w:gridSpan w:val="3"/>
            <w:vAlign w:val="center"/>
          </w:tcPr>
          <w:p>
            <w:pPr>
              <w:pStyle w:val="3"/>
              <w:spacing w:before="0" w:beforeAutospacing="0" w:after="0" w:afterAutospacing="0" w:line="220" w:lineRule="exact"/>
              <w:jc w:val="center"/>
              <w:outlineLvl w:val="2"/>
              <w:rPr>
                <w:rFonts w:hint="eastAsia" w:ascii="黑体" w:hAnsi="黑体" w:eastAsia="黑体" w:cs="黑体"/>
                <w:b w:val="0"/>
                <w:bCs/>
                <w:sz w:val="18"/>
                <w:szCs w:val="18"/>
              </w:rPr>
            </w:pPr>
            <w:r>
              <w:rPr>
                <w:rFonts w:hint="eastAsia" w:ascii="黑体" w:hAnsi="黑体" w:eastAsia="黑体" w:cs="黑体"/>
                <w:b w:val="0"/>
                <w:bCs/>
                <w:sz w:val="18"/>
                <w:szCs w:val="18"/>
              </w:rPr>
              <w:t>任务</w:t>
            </w:r>
          </w:p>
          <w:p>
            <w:pPr>
              <w:pStyle w:val="3"/>
              <w:spacing w:before="0" w:beforeAutospacing="0" w:after="0" w:afterAutospacing="0" w:line="220" w:lineRule="exact"/>
              <w:jc w:val="center"/>
              <w:outlineLvl w:val="2"/>
              <w:rPr>
                <w:rFonts w:hint="eastAsia" w:ascii="黑体" w:hAnsi="黑体" w:eastAsia="黑体" w:cs="黑体"/>
                <w:b w:val="0"/>
                <w:bCs/>
                <w:snapToGrid w:val="0"/>
                <w:color w:val="000000"/>
                <w:kern w:val="0"/>
                <w:sz w:val="18"/>
                <w:szCs w:val="18"/>
                <w:lang w:val="en-US" w:eastAsia="zh-CN" w:bidi="ar-SA"/>
              </w:rPr>
            </w:pPr>
            <w:r>
              <w:rPr>
                <w:rFonts w:hint="eastAsia" w:ascii="黑体" w:hAnsi="黑体" w:eastAsia="黑体" w:cs="黑体"/>
                <w:b w:val="0"/>
                <w:bCs/>
                <w:sz w:val="18"/>
                <w:szCs w:val="18"/>
              </w:rPr>
              <w:t>分类</w:t>
            </w:r>
          </w:p>
        </w:tc>
        <w:tc>
          <w:tcPr>
            <w:tcW w:w="1035" w:type="dxa"/>
            <w:vAlign w:val="center"/>
          </w:tcPr>
          <w:p>
            <w:pPr>
              <w:pStyle w:val="3"/>
              <w:spacing w:before="0" w:beforeAutospacing="0" w:after="0" w:afterAutospacing="0" w:line="220" w:lineRule="exact"/>
              <w:jc w:val="center"/>
              <w:outlineLvl w:val="2"/>
              <w:rPr>
                <w:rFonts w:hint="eastAsia" w:ascii="黑体" w:hAnsi="黑体" w:eastAsia="黑体" w:cs="黑体"/>
                <w:b w:val="0"/>
                <w:bCs/>
                <w:snapToGrid w:val="0"/>
                <w:color w:val="000000"/>
                <w:kern w:val="0"/>
                <w:sz w:val="18"/>
                <w:szCs w:val="18"/>
                <w:lang w:val="en-US" w:eastAsia="zh-CN" w:bidi="ar-SA"/>
              </w:rPr>
            </w:pPr>
            <w:r>
              <w:rPr>
                <w:rFonts w:hint="eastAsia" w:ascii="黑体" w:hAnsi="黑体" w:eastAsia="黑体" w:cs="黑体"/>
                <w:b w:val="0"/>
                <w:bCs/>
                <w:sz w:val="18"/>
                <w:szCs w:val="18"/>
              </w:rPr>
              <w:t>省级指标</w:t>
            </w:r>
          </w:p>
        </w:tc>
        <w:tc>
          <w:tcPr>
            <w:tcW w:w="1424" w:type="dxa"/>
            <w:gridSpan w:val="2"/>
            <w:vAlign w:val="center"/>
          </w:tcPr>
          <w:p>
            <w:pPr>
              <w:pStyle w:val="3"/>
              <w:spacing w:before="0" w:beforeAutospacing="0" w:after="0" w:afterAutospacing="0" w:line="220" w:lineRule="exact"/>
              <w:jc w:val="center"/>
              <w:outlineLvl w:val="2"/>
              <w:rPr>
                <w:rFonts w:hint="eastAsia" w:ascii="黑体" w:hAnsi="黑体" w:eastAsia="黑体" w:cs="黑体"/>
                <w:b w:val="0"/>
                <w:bCs/>
                <w:snapToGrid w:val="0"/>
                <w:color w:val="000000"/>
                <w:kern w:val="0"/>
                <w:sz w:val="18"/>
                <w:szCs w:val="18"/>
                <w:lang w:val="en-US" w:eastAsia="zh-CN" w:bidi="ar-SA"/>
              </w:rPr>
            </w:pPr>
            <w:r>
              <w:rPr>
                <w:rFonts w:hint="eastAsia" w:ascii="黑体" w:hAnsi="黑体" w:eastAsia="黑体" w:cs="黑体"/>
                <w:b w:val="0"/>
                <w:bCs/>
                <w:sz w:val="18"/>
                <w:szCs w:val="18"/>
              </w:rPr>
              <w:t>市级指标</w:t>
            </w:r>
          </w:p>
        </w:tc>
        <w:tc>
          <w:tcPr>
            <w:tcW w:w="4736" w:type="dxa"/>
            <w:vMerge w:val="continue"/>
            <w:vAlign w:val="center"/>
          </w:tcPr>
          <w:p>
            <w:pPr>
              <w:pStyle w:val="3"/>
              <w:spacing w:before="0" w:beforeAutospacing="0" w:after="0" w:afterAutospacing="0" w:line="220" w:lineRule="exact"/>
              <w:jc w:val="both"/>
              <w:outlineLvl w:val="2"/>
              <w:rPr>
                <w:rFonts w:hint="eastAsia" w:ascii="黑体" w:hAnsi="黑体" w:eastAsia="黑体" w:cs="黑体"/>
                <w:b w:val="0"/>
                <w:bCs/>
                <w:sz w:val="18"/>
                <w:szCs w:val="18"/>
                <w:lang w:eastAsia="zh-CN"/>
              </w:rPr>
            </w:pPr>
          </w:p>
        </w:tc>
        <w:tc>
          <w:tcPr>
            <w:tcW w:w="794" w:type="dxa"/>
            <w:vMerge w:val="continue"/>
            <w:vAlign w:val="center"/>
          </w:tcPr>
          <w:p>
            <w:pPr>
              <w:pStyle w:val="3"/>
              <w:spacing w:before="0" w:beforeAutospacing="0" w:after="0" w:afterAutospacing="0" w:line="220" w:lineRule="exact"/>
              <w:jc w:val="both"/>
              <w:outlineLvl w:val="2"/>
              <w:rPr>
                <w:rFonts w:hint="eastAsia" w:ascii="黑体" w:hAnsi="黑体" w:eastAsia="黑体" w:cs="黑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849" w:type="dxa"/>
            <w:gridSpan w:val="3"/>
            <w:vMerge w:val="restart"/>
            <w:vAlign w:val="center"/>
          </w:tcPr>
          <w:p>
            <w:pPr>
              <w:pStyle w:val="3"/>
              <w:spacing w:before="0" w:beforeAutospacing="0" w:after="0" w:afterAutospacing="0" w:line="220" w:lineRule="exact"/>
              <w:jc w:val="center"/>
              <w:outlineLvl w:val="2"/>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六、</w:t>
            </w:r>
          </w:p>
          <w:p>
            <w:pPr>
              <w:pStyle w:val="3"/>
              <w:spacing w:before="0" w:beforeAutospacing="0" w:after="0" w:afterAutospacing="0" w:line="220" w:lineRule="exact"/>
              <w:jc w:val="center"/>
              <w:outlineLvl w:val="2"/>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强化</w:t>
            </w:r>
          </w:p>
          <w:p>
            <w:pPr>
              <w:pStyle w:val="3"/>
              <w:spacing w:before="0" w:beforeAutospacing="0" w:after="0" w:afterAutospacing="0" w:line="220" w:lineRule="exact"/>
              <w:jc w:val="center"/>
              <w:outlineLvl w:val="2"/>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行政</w:t>
            </w:r>
          </w:p>
          <w:p>
            <w:pPr>
              <w:pStyle w:val="3"/>
              <w:spacing w:before="0" w:beforeAutospacing="0" w:after="0" w:afterAutospacing="0" w:line="220" w:lineRule="exact"/>
              <w:jc w:val="center"/>
              <w:outlineLvl w:val="2"/>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执法</w:t>
            </w:r>
          </w:p>
          <w:p>
            <w:pPr>
              <w:pStyle w:val="3"/>
              <w:spacing w:before="0" w:beforeAutospacing="0" w:after="0" w:afterAutospacing="0" w:line="220" w:lineRule="exact"/>
              <w:jc w:val="center"/>
              <w:outlineLvl w:val="2"/>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保障</w:t>
            </w:r>
          </w:p>
          <w:p>
            <w:pPr>
              <w:pStyle w:val="3"/>
              <w:spacing w:before="0" w:beforeAutospacing="0" w:after="0" w:afterAutospacing="0" w:line="220" w:lineRule="exact"/>
              <w:jc w:val="center"/>
              <w:outlineLvl w:val="2"/>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lang w:val="en-US" w:eastAsia="zh-CN"/>
              </w:rPr>
              <w:t>能力</w:t>
            </w:r>
          </w:p>
        </w:tc>
        <w:tc>
          <w:tcPr>
            <w:tcW w:w="1035" w:type="dxa"/>
            <w:vMerge w:val="restart"/>
            <w:vAlign w:val="center"/>
          </w:tcPr>
          <w:p>
            <w:pPr>
              <w:pStyle w:val="3"/>
              <w:spacing w:before="0" w:beforeAutospacing="0" w:after="0" w:afterAutospacing="0" w:line="220" w:lineRule="exact"/>
              <w:jc w:val="both"/>
              <w:outlineLvl w:val="2"/>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lang w:val="en-US" w:eastAsia="zh-CN"/>
              </w:rPr>
              <w:t>18.加强队伍建设</w:t>
            </w: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lang w:val="en-US" w:eastAsia="zh-CN"/>
              </w:rPr>
              <w:t>（42）深化行政执法队伍建设</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val="en-US" w:eastAsia="zh-CN"/>
              </w:rPr>
              <w:t>根据行政执法工作任务需要，合理配备行政执法力量，推动执法力量向基层下沉。优化人员结构，鼓励具有法律专业知识、法律工作背景及取得国家法律职业资格的人员从事行政执法工作。</w:t>
            </w:r>
          </w:p>
        </w:tc>
        <w:tc>
          <w:tcPr>
            <w:tcW w:w="794" w:type="dxa"/>
            <w:vMerge w:val="restart"/>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lang w:eastAsia="zh-CN"/>
              </w:rPr>
              <w:t>县</w:t>
            </w:r>
            <w:r>
              <w:rPr>
                <w:rFonts w:hint="eastAsia" w:asciiTheme="minorEastAsia" w:hAnsiTheme="minorEastAsia" w:eastAsiaTheme="minorEastAsia" w:cstheme="minorEastAsia"/>
                <w:b w:val="0"/>
                <w:bCs/>
                <w:sz w:val="18"/>
                <w:szCs w:val="18"/>
              </w:rPr>
              <w:t>委编</w:t>
            </w:r>
            <w:r>
              <w:rPr>
                <w:rFonts w:hint="eastAsia" w:asciiTheme="minorEastAsia" w:hAnsiTheme="minorEastAsia" w:eastAsiaTheme="minorEastAsia" w:cstheme="minorEastAsia"/>
                <w:b w:val="0"/>
                <w:bCs/>
                <w:spacing w:val="-11"/>
                <w:sz w:val="18"/>
                <w:szCs w:val="18"/>
              </w:rPr>
              <w:t>办、</w:t>
            </w:r>
            <w:r>
              <w:rPr>
                <w:rFonts w:hint="eastAsia" w:asciiTheme="minorEastAsia" w:hAnsiTheme="minorEastAsia" w:eastAsiaTheme="minorEastAsia" w:cstheme="minorEastAsia"/>
                <w:b w:val="0"/>
                <w:bCs/>
                <w:spacing w:val="-11"/>
                <w:sz w:val="18"/>
                <w:szCs w:val="18"/>
                <w:lang w:eastAsia="zh-CN"/>
              </w:rPr>
              <w:t>县</w:t>
            </w:r>
            <w:r>
              <w:rPr>
                <w:rFonts w:hint="eastAsia" w:asciiTheme="minorEastAsia" w:hAnsiTheme="minorEastAsia" w:eastAsiaTheme="minorEastAsia" w:cstheme="minorEastAsia"/>
                <w:b w:val="0"/>
                <w:bCs/>
                <w:spacing w:val="-11"/>
                <w:sz w:val="18"/>
                <w:szCs w:val="18"/>
              </w:rPr>
              <w:t>司</w:t>
            </w:r>
            <w:r>
              <w:rPr>
                <w:rFonts w:hint="eastAsia" w:asciiTheme="minorEastAsia" w:hAnsiTheme="minorEastAsia" w:eastAsiaTheme="minorEastAsia" w:cstheme="minorEastAsia"/>
                <w:b w:val="0"/>
                <w:bCs/>
                <w:sz w:val="18"/>
                <w:szCs w:val="18"/>
              </w:rPr>
              <w:t>法局、</w:t>
            </w:r>
            <w:r>
              <w:rPr>
                <w:rFonts w:hint="eastAsia" w:asciiTheme="minorEastAsia" w:hAnsiTheme="minorEastAsia" w:eastAsiaTheme="minorEastAsia" w:cstheme="minorEastAsia"/>
                <w:b w:val="0"/>
                <w:bCs/>
                <w:sz w:val="18"/>
                <w:szCs w:val="18"/>
                <w:lang w:eastAsia="zh-CN"/>
              </w:rPr>
              <w:t>县</w:t>
            </w:r>
            <w:r>
              <w:rPr>
                <w:rFonts w:hint="eastAsia" w:asciiTheme="minorEastAsia" w:hAnsiTheme="minorEastAsia" w:eastAsiaTheme="minorEastAsia" w:cstheme="minorEastAsia"/>
                <w:b w:val="0"/>
                <w:bCs/>
                <w:sz w:val="18"/>
                <w:szCs w:val="18"/>
              </w:rPr>
              <w:t>直各行政执法</w:t>
            </w:r>
            <w:r>
              <w:rPr>
                <w:rFonts w:hint="eastAsia" w:asciiTheme="minorEastAsia" w:hAnsiTheme="minorEastAsia" w:eastAsiaTheme="minorEastAsia" w:cstheme="minorEastAsia"/>
                <w:b w:val="0"/>
                <w:bCs/>
                <w:sz w:val="18"/>
                <w:szCs w:val="18"/>
                <w:lang w:eastAsia="zh-CN"/>
              </w:rPr>
              <w:t>部门</w:t>
            </w:r>
            <w:r>
              <w:rPr>
                <w:rFonts w:hint="eastAsia" w:asciiTheme="minorEastAsia" w:hAnsiTheme="minorEastAsia" w:eastAsiaTheme="minorEastAsia" w:cstheme="minorEastAsia"/>
                <w:b w:val="0"/>
                <w:bCs/>
                <w:sz w:val="18"/>
                <w:szCs w:val="18"/>
              </w:rPr>
              <w:t>、各乡镇按职责分工负责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49" w:type="dxa"/>
            <w:gridSpan w:val="3"/>
            <w:vMerge w:val="continue"/>
            <w:vAlign w:val="center"/>
          </w:tcPr>
          <w:p>
            <w:pPr>
              <w:pStyle w:val="3"/>
              <w:spacing w:before="0" w:beforeAutospacing="0" w:after="0" w:afterAutospacing="0" w:line="220" w:lineRule="exact"/>
              <w:jc w:val="both"/>
              <w:outlineLvl w:val="2"/>
              <w:rPr>
                <w:rFonts w:hint="eastAsia" w:asciiTheme="minorEastAsia" w:hAnsiTheme="minorEastAsia" w:eastAsiaTheme="minorEastAsia" w:cstheme="minorEastAsia"/>
                <w:b w:val="0"/>
                <w:bCs/>
                <w:sz w:val="18"/>
                <w:szCs w:val="18"/>
              </w:rPr>
            </w:pPr>
          </w:p>
        </w:tc>
        <w:tc>
          <w:tcPr>
            <w:tcW w:w="1035" w:type="dxa"/>
            <w:vMerge w:val="continue"/>
            <w:vAlign w:val="center"/>
          </w:tcPr>
          <w:p>
            <w:pPr>
              <w:pStyle w:val="3"/>
              <w:spacing w:before="0" w:beforeAutospacing="0" w:after="0" w:afterAutospacing="0" w:line="220" w:lineRule="exact"/>
              <w:jc w:val="both"/>
              <w:outlineLvl w:val="2"/>
              <w:rPr>
                <w:rFonts w:hint="eastAsia" w:asciiTheme="minorEastAsia" w:hAnsiTheme="minorEastAsia" w:eastAsiaTheme="minorEastAsia" w:cstheme="minorEastAsia"/>
                <w:b w:val="0"/>
                <w:bCs/>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lang w:val="en-US" w:eastAsia="zh-CN"/>
              </w:rPr>
              <w:t>（43）加强行政执法法制审核能力建设</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lang w:val="en-US" w:eastAsia="zh-CN"/>
              </w:rPr>
              <w:t>县直各行政执法部门及各乡镇要加强公职律师和法律顾问队伍建设，合理配备公职律师和法律顾问，充分发挥其在重大执法决定法制审核工作中的作用。整合有关行政执法</w:t>
            </w:r>
            <w:r>
              <w:rPr>
                <w:rFonts w:hint="eastAsia" w:asciiTheme="minorEastAsia" w:hAnsiTheme="minorEastAsia" w:eastAsiaTheme="minorEastAsia" w:cstheme="minorEastAsia"/>
                <w:b w:val="0"/>
                <w:bCs/>
                <w:spacing w:val="6"/>
                <w:sz w:val="18"/>
                <w:szCs w:val="18"/>
                <w:lang w:val="en-US" w:eastAsia="zh-CN"/>
              </w:rPr>
              <w:t>机关的法制审核力量，建立重大执法决定法制审核协作机制。</w:t>
            </w:r>
          </w:p>
        </w:tc>
        <w:tc>
          <w:tcPr>
            <w:tcW w:w="794" w:type="dxa"/>
            <w:vMerge w:val="continue"/>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Theme="minorEastAsia" w:hAnsiTheme="minorEastAsia" w:eastAsiaTheme="minorEastAsia" w:cstheme="minorEastAsia"/>
                <w:b w:val="0"/>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849" w:type="dxa"/>
            <w:gridSpan w:val="3"/>
            <w:vMerge w:val="continue"/>
            <w:vAlign w:val="center"/>
          </w:tcPr>
          <w:p>
            <w:pPr>
              <w:pStyle w:val="3"/>
              <w:spacing w:before="0" w:beforeAutospacing="0" w:after="0" w:afterAutospacing="0" w:line="220" w:lineRule="exact"/>
              <w:jc w:val="center"/>
              <w:outlineLvl w:val="2"/>
              <w:rPr>
                <w:rFonts w:hint="eastAsia" w:asciiTheme="minorEastAsia" w:hAnsiTheme="minorEastAsia" w:eastAsiaTheme="minorEastAsia" w:cstheme="minorEastAsia"/>
                <w:b w:val="0"/>
                <w:bCs/>
                <w:sz w:val="18"/>
                <w:szCs w:val="18"/>
              </w:rPr>
            </w:pPr>
          </w:p>
        </w:tc>
        <w:tc>
          <w:tcPr>
            <w:tcW w:w="1035" w:type="dxa"/>
            <w:vMerge w:val="restart"/>
            <w:vAlign w:val="center"/>
          </w:tcPr>
          <w:p>
            <w:pPr>
              <w:pStyle w:val="3"/>
              <w:spacing w:before="0" w:beforeAutospacing="0" w:after="0" w:afterAutospacing="0" w:line="220" w:lineRule="exact"/>
              <w:jc w:val="both"/>
              <w:outlineLvl w:val="2"/>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lang w:val="en-US" w:eastAsia="zh-CN"/>
              </w:rPr>
              <w:t>19.强化权益保障</w:t>
            </w: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lang w:val="en-US" w:eastAsia="zh-CN"/>
              </w:rPr>
              <w:t>（44）建立健全行政执法责任追究和尽职免予问责机制</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lang w:val="en-US" w:eastAsia="zh-CN"/>
              </w:rPr>
              <w:t>细化和明确追责、免予问责情形和容错纠错程序，激励行政执法人员担当作为。</w:t>
            </w:r>
          </w:p>
        </w:tc>
        <w:tc>
          <w:tcPr>
            <w:tcW w:w="794" w:type="dxa"/>
            <w:vMerge w:val="restart"/>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val="en-US" w:eastAsia="zh-CN"/>
              </w:rPr>
              <w:t>县直各行政执法部门、各乡镇按职责分工负责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49" w:type="dxa"/>
            <w:gridSpan w:val="3"/>
            <w:vMerge w:val="continue"/>
            <w:vAlign w:val="center"/>
          </w:tcPr>
          <w:p>
            <w:pPr>
              <w:pStyle w:val="3"/>
              <w:spacing w:before="0" w:beforeAutospacing="0" w:after="0" w:afterAutospacing="0" w:line="220" w:lineRule="exact"/>
              <w:jc w:val="center"/>
              <w:outlineLvl w:val="2"/>
              <w:rPr>
                <w:rFonts w:hint="eastAsia" w:asciiTheme="minorEastAsia" w:hAnsiTheme="minorEastAsia" w:eastAsiaTheme="minorEastAsia" w:cstheme="minorEastAsia"/>
                <w:b w:val="0"/>
                <w:bCs/>
                <w:sz w:val="18"/>
                <w:szCs w:val="18"/>
              </w:rPr>
            </w:pPr>
          </w:p>
        </w:tc>
        <w:tc>
          <w:tcPr>
            <w:tcW w:w="1035" w:type="dxa"/>
            <w:vMerge w:val="continue"/>
            <w:vAlign w:val="center"/>
          </w:tcPr>
          <w:p>
            <w:pPr>
              <w:pStyle w:val="3"/>
              <w:spacing w:before="0" w:beforeAutospacing="0" w:after="0" w:afterAutospacing="0" w:line="220" w:lineRule="exact"/>
              <w:jc w:val="both"/>
              <w:outlineLvl w:val="2"/>
              <w:rPr>
                <w:rFonts w:hint="eastAsia" w:asciiTheme="minorEastAsia" w:hAnsiTheme="minorEastAsia" w:eastAsiaTheme="minorEastAsia" w:cstheme="minorEastAsia"/>
                <w:b w:val="0"/>
                <w:bCs/>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lang w:val="en-US" w:eastAsia="zh-CN"/>
              </w:rPr>
              <w:t>（45）落实和完善执法人员工资待遇政策</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lang w:val="en-US" w:eastAsia="zh-CN"/>
              </w:rPr>
              <w:t>依法为基层一线行政执法人员办理保险，强化行政执法人员职业保障。</w:t>
            </w:r>
          </w:p>
        </w:tc>
        <w:tc>
          <w:tcPr>
            <w:tcW w:w="794" w:type="dxa"/>
            <w:vMerge w:val="continue"/>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Theme="minorEastAsia" w:hAnsiTheme="minorEastAsia" w:eastAsiaTheme="minorEastAsia" w:cstheme="minorEastAsia"/>
                <w:b w:val="0"/>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49" w:type="dxa"/>
            <w:gridSpan w:val="3"/>
            <w:vMerge w:val="continue"/>
            <w:vAlign w:val="center"/>
          </w:tcPr>
          <w:p>
            <w:pPr>
              <w:pStyle w:val="3"/>
              <w:spacing w:before="0" w:beforeAutospacing="0" w:after="0" w:afterAutospacing="0" w:line="220" w:lineRule="exact"/>
              <w:jc w:val="center"/>
              <w:outlineLvl w:val="2"/>
              <w:rPr>
                <w:rFonts w:hint="eastAsia" w:asciiTheme="minorEastAsia" w:hAnsiTheme="minorEastAsia" w:eastAsiaTheme="minorEastAsia" w:cstheme="minorEastAsia"/>
                <w:b w:val="0"/>
                <w:bCs/>
                <w:sz w:val="18"/>
                <w:szCs w:val="18"/>
              </w:rPr>
            </w:pPr>
          </w:p>
        </w:tc>
        <w:tc>
          <w:tcPr>
            <w:tcW w:w="1035" w:type="dxa"/>
            <w:vMerge w:val="continue"/>
            <w:vAlign w:val="center"/>
          </w:tcPr>
          <w:p>
            <w:pPr>
              <w:pStyle w:val="3"/>
              <w:spacing w:before="0" w:beforeAutospacing="0" w:after="0" w:afterAutospacing="0" w:line="220" w:lineRule="exact"/>
              <w:jc w:val="both"/>
              <w:outlineLvl w:val="2"/>
              <w:rPr>
                <w:rFonts w:hint="eastAsia" w:asciiTheme="minorEastAsia" w:hAnsiTheme="minorEastAsia" w:eastAsiaTheme="minorEastAsia" w:cstheme="minorEastAsia"/>
                <w:b w:val="0"/>
                <w:bCs/>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lang w:val="en-US" w:eastAsia="zh-CN"/>
              </w:rPr>
              <w:t>（46）完善行政执法人员心理咨询服务和危机干预机制</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lang w:val="en-US" w:eastAsia="zh-CN"/>
              </w:rPr>
              <w:t>及时开展情绪疏导、心理咨询、危机干预，保障行政执法人员心理健康。</w:t>
            </w:r>
          </w:p>
        </w:tc>
        <w:tc>
          <w:tcPr>
            <w:tcW w:w="794" w:type="dxa"/>
            <w:vMerge w:val="continue"/>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Theme="minorEastAsia" w:hAnsiTheme="minorEastAsia" w:eastAsiaTheme="minorEastAsia" w:cstheme="minorEastAsia"/>
                <w:b w:val="0"/>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49" w:type="dxa"/>
            <w:gridSpan w:val="3"/>
            <w:vMerge w:val="continue"/>
            <w:vAlign w:val="center"/>
          </w:tcPr>
          <w:p>
            <w:pPr>
              <w:pStyle w:val="3"/>
              <w:spacing w:before="0" w:beforeAutospacing="0" w:after="0" w:afterAutospacing="0" w:line="220" w:lineRule="exact"/>
              <w:jc w:val="center"/>
              <w:outlineLvl w:val="2"/>
              <w:rPr>
                <w:rFonts w:hint="eastAsia" w:asciiTheme="minorEastAsia" w:hAnsiTheme="minorEastAsia" w:eastAsiaTheme="minorEastAsia" w:cstheme="minorEastAsia"/>
                <w:b w:val="0"/>
                <w:bCs/>
                <w:sz w:val="18"/>
                <w:szCs w:val="18"/>
              </w:rPr>
            </w:pPr>
          </w:p>
        </w:tc>
        <w:tc>
          <w:tcPr>
            <w:tcW w:w="1035" w:type="dxa"/>
            <w:vMerge w:val="restart"/>
            <w:vAlign w:val="center"/>
          </w:tcPr>
          <w:p>
            <w:pPr>
              <w:pStyle w:val="3"/>
              <w:spacing w:before="0" w:beforeAutospacing="0" w:after="0" w:afterAutospacing="0" w:line="220" w:lineRule="exact"/>
              <w:jc w:val="both"/>
              <w:outlineLvl w:val="2"/>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lang w:val="en-US" w:eastAsia="zh-CN"/>
              </w:rPr>
              <w:t>20.加大财</w:t>
            </w:r>
            <w:r>
              <w:rPr>
                <w:rFonts w:hint="eastAsia" w:asciiTheme="minorEastAsia" w:hAnsiTheme="minorEastAsia" w:eastAsiaTheme="minorEastAsia" w:cstheme="minorEastAsia"/>
                <w:b w:val="0"/>
                <w:bCs/>
                <w:spacing w:val="-11"/>
                <w:sz w:val="18"/>
                <w:szCs w:val="18"/>
                <w:lang w:val="en-US" w:eastAsia="zh-CN"/>
              </w:rPr>
              <w:t>政支持力度</w:t>
            </w: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lang w:val="en-US" w:eastAsia="zh-CN"/>
              </w:rPr>
              <w:t>（47）强化行政执法工作的经费预算保障</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lang w:val="en-US" w:eastAsia="zh-CN"/>
              </w:rPr>
              <w:t>要按照财政事权和支出责任划分原则，将行政执法工作经费、执法装备配备费用纳入本级预算。</w:t>
            </w:r>
          </w:p>
        </w:tc>
        <w:tc>
          <w:tcPr>
            <w:tcW w:w="794" w:type="dxa"/>
            <w:vMerge w:val="restart"/>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20" w:lineRule="exact"/>
              <w:jc w:val="both"/>
              <w:textAlignment w:val="baseline"/>
              <w:outlineLvl w:val="2"/>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val="en-US" w:eastAsia="zh-CN"/>
              </w:rPr>
              <w:t>县财政局、县直各行政执法</w:t>
            </w:r>
            <w:r>
              <w:rPr>
                <w:rFonts w:hint="eastAsia" w:asciiTheme="minorEastAsia" w:hAnsiTheme="minorEastAsia" w:eastAsiaTheme="minorEastAsia" w:cstheme="minorEastAsia"/>
                <w:b w:val="0"/>
                <w:bCs/>
                <w:spacing w:val="-11"/>
                <w:sz w:val="18"/>
                <w:szCs w:val="18"/>
                <w:lang w:val="en-US" w:eastAsia="zh-CN"/>
              </w:rPr>
              <w:t>部门、</w:t>
            </w:r>
            <w:r>
              <w:rPr>
                <w:rFonts w:hint="eastAsia" w:asciiTheme="minorEastAsia" w:hAnsiTheme="minorEastAsia" w:eastAsiaTheme="minorEastAsia" w:cstheme="minorEastAsia"/>
                <w:b w:val="0"/>
                <w:bCs/>
                <w:sz w:val="18"/>
                <w:szCs w:val="18"/>
                <w:lang w:val="en-US" w:eastAsia="zh-CN"/>
              </w:rPr>
              <w:t>各乡镇按职责分工负责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49" w:type="dxa"/>
            <w:gridSpan w:val="3"/>
            <w:vMerge w:val="continue"/>
            <w:vAlign w:val="center"/>
          </w:tcPr>
          <w:p>
            <w:pPr>
              <w:pStyle w:val="3"/>
              <w:spacing w:before="0" w:beforeAutospacing="0" w:after="0" w:afterAutospacing="0" w:line="220" w:lineRule="exact"/>
              <w:jc w:val="center"/>
              <w:outlineLvl w:val="2"/>
              <w:rPr>
                <w:rFonts w:cs="宋体"/>
                <w:sz w:val="18"/>
                <w:szCs w:val="18"/>
              </w:rPr>
            </w:pPr>
          </w:p>
        </w:tc>
        <w:tc>
          <w:tcPr>
            <w:tcW w:w="1035" w:type="dxa"/>
            <w:vMerge w:val="continue"/>
            <w:vAlign w:val="center"/>
          </w:tcPr>
          <w:p>
            <w:pPr>
              <w:pStyle w:val="3"/>
              <w:spacing w:before="0" w:beforeAutospacing="0" w:after="0" w:afterAutospacing="0" w:line="220" w:lineRule="exact"/>
              <w:jc w:val="both"/>
              <w:outlineLvl w:val="2"/>
              <w:rPr>
                <w:rFonts w:cs="宋体"/>
                <w:sz w:val="18"/>
                <w:szCs w:val="18"/>
              </w:rPr>
            </w:pPr>
          </w:p>
        </w:tc>
        <w:tc>
          <w:tcPr>
            <w:tcW w:w="1424" w:type="dxa"/>
            <w:gridSpan w:val="2"/>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cs="宋体"/>
                <w:b w:val="0"/>
                <w:bCs/>
                <w:sz w:val="18"/>
                <w:szCs w:val="18"/>
              </w:rPr>
            </w:pPr>
            <w:r>
              <w:rPr>
                <w:rFonts w:cs="宋体"/>
                <w:b w:val="0"/>
                <w:bCs/>
                <w:sz w:val="18"/>
                <w:szCs w:val="18"/>
                <w:lang w:val="en-US" w:eastAsia="zh-CN"/>
              </w:rPr>
              <w:t>（</w:t>
            </w:r>
            <w:r>
              <w:rPr>
                <w:rFonts w:hint="eastAsia" w:cs="宋体"/>
                <w:b w:val="0"/>
                <w:bCs/>
                <w:sz w:val="18"/>
                <w:szCs w:val="18"/>
                <w:lang w:val="en-US" w:eastAsia="zh-CN"/>
              </w:rPr>
              <w:t>48</w:t>
            </w:r>
            <w:r>
              <w:rPr>
                <w:rFonts w:cs="宋体"/>
                <w:b w:val="0"/>
                <w:bCs/>
                <w:sz w:val="18"/>
                <w:szCs w:val="18"/>
                <w:lang w:val="en-US" w:eastAsia="zh-CN"/>
              </w:rPr>
              <w:t>）合理保障</w:t>
            </w:r>
            <w:r>
              <w:rPr>
                <w:rFonts w:hint="eastAsia" w:cs="宋体"/>
                <w:b w:val="0"/>
                <w:bCs/>
                <w:sz w:val="18"/>
                <w:szCs w:val="18"/>
                <w:lang w:val="en-US" w:eastAsia="zh-CN"/>
              </w:rPr>
              <w:t>行政执法经费投入力度</w:t>
            </w:r>
          </w:p>
        </w:tc>
        <w:tc>
          <w:tcPr>
            <w:tcW w:w="4736" w:type="dxa"/>
            <w:vAlign w:val="center"/>
          </w:tcPr>
          <w:p>
            <w:pPr>
              <w:pStyle w:val="3"/>
              <w:keepNext w:val="0"/>
              <w:keepLines w:val="0"/>
              <w:pageBreakBefore w:val="0"/>
              <w:widowControl w:val="0"/>
              <w:kinsoku/>
              <w:wordWrap/>
              <w:overflowPunct/>
              <w:topLinePunct/>
              <w:autoSpaceDE w:val="0"/>
              <w:autoSpaceDN w:val="0"/>
              <w:bidi w:val="0"/>
              <w:adjustRightInd/>
              <w:snapToGrid/>
              <w:spacing w:before="0" w:beforeAutospacing="0" w:after="0" w:afterAutospacing="0" w:line="280" w:lineRule="exact"/>
              <w:jc w:val="both"/>
              <w:textAlignment w:val="baseline"/>
              <w:outlineLvl w:val="2"/>
              <w:rPr>
                <w:rFonts w:cs="宋体"/>
                <w:b w:val="0"/>
                <w:bCs/>
                <w:sz w:val="18"/>
                <w:szCs w:val="18"/>
              </w:rPr>
            </w:pPr>
            <w:r>
              <w:rPr>
                <w:rFonts w:cs="宋体"/>
                <w:b w:val="0"/>
                <w:bCs/>
                <w:sz w:val="18"/>
                <w:szCs w:val="18"/>
                <w:lang w:val="en-US" w:eastAsia="zh-CN"/>
              </w:rPr>
              <w:t>结合财政实际，优先做好办公用品、执法场所、制式服装、</w:t>
            </w:r>
            <w:r>
              <w:rPr>
                <w:rFonts w:hint="eastAsia" w:cs="宋体"/>
                <w:b w:val="0"/>
                <w:bCs/>
                <w:sz w:val="18"/>
                <w:szCs w:val="18"/>
                <w:lang w:val="en-US" w:eastAsia="zh-CN"/>
              </w:rPr>
              <w:t>调查取证装备和执法车辆（船）等基础设施设备的经费保障，切实保障行政执法工作需要。</w:t>
            </w:r>
          </w:p>
        </w:tc>
        <w:tc>
          <w:tcPr>
            <w:tcW w:w="794" w:type="dxa"/>
            <w:vMerge w:val="continue"/>
            <w:vAlign w:val="center"/>
          </w:tcPr>
          <w:p>
            <w:pPr>
              <w:pStyle w:val="3"/>
              <w:spacing w:before="0" w:beforeAutospacing="0" w:after="0" w:afterAutospacing="0" w:line="220" w:lineRule="exact"/>
              <w:jc w:val="both"/>
              <w:outlineLvl w:val="2"/>
              <w:rPr>
                <w:rFonts w:hint="eastAsia" w:cs="宋体"/>
                <w:sz w:val="18"/>
                <w:szCs w:val="18"/>
                <w:lang w:eastAsia="zh-CN"/>
              </w:rPr>
            </w:pPr>
          </w:p>
        </w:tc>
      </w:tr>
    </w:tbl>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before="251" w:beforeLines="80" w:line="60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 w:type="default"/>
      <w:pgSz w:w="11906" w:h="16838"/>
      <w:pgMar w:top="1871" w:right="1531" w:bottom="1757"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8E4638"/>
    <w:multiLevelType w:val="singleLevel"/>
    <w:tmpl w:val="478E4638"/>
    <w:lvl w:ilvl="0" w:tentative="0">
      <w:start w:val="1"/>
      <w:numFmt w:val="decimal"/>
      <w:suff w:val="nothing"/>
      <w:lvlText w:val="%1."/>
      <w:lvlJc w:val="left"/>
    </w:lvl>
  </w:abstractNum>
  <w:abstractNum w:abstractNumId="1">
    <w:nsid w:val="478E4CE7"/>
    <w:multiLevelType w:val="singleLevel"/>
    <w:tmpl w:val="478E4CE7"/>
    <w:lvl w:ilvl="0" w:tentative="0">
      <w:start w:val="5"/>
      <w:numFmt w:val="chineseCounting"/>
      <w:suff w:val="nothing"/>
      <w:lvlText w:val="%1、"/>
      <w:lvlJc w:val="left"/>
    </w:lvl>
  </w:abstractNum>
  <w:abstractNum w:abstractNumId="2">
    <w:nsid w:val="6614A99C"/>
    <w:multiLevelType w:val="singleLevel"/>
    <w:tmpl w:val="6614A99C"/>
    <w:lvl w:ilvl="0" w:tentative="0">
      <w:start w:val="4"/>
      <w:numFmt w:val="decimal"/>
      <w:suff w:val="nothing"/>
      <w:lvlText w:val="%1."/>
      <w:lvlJc w:val="left"/>
    </w:lvl>
  </w:abstractNum>
  <w:abstractNum w:abstractNumId="3">
    <w:nsid w:val="6614A9CB"/>
    <w:multiLevelType w:val="singleLevel"/>
    <w:tmpl w:val="6614A9CB"/>
    <w:lvl w:ilvl="0" w:tentative="0">
      <w:start w:val="14"/>
      <w:numFmt w:val="decimal"/>
      <w:suff w:val="nothing"/>
      <w:lvlText w:val="%1."/>
      <w:lvlJc w:val="left"/>
    </w:lvl>
  </w:abstractNum>
  <w:abstractNum w:abstractNumId="4">
    <w:nsid w:val="6614A9EA"/>
    <w:multiLevelType w:val="singleLevel"/>
    <w:tmpl w:val="6614A9EA"/>
    <w:lvl w:ilvl="0" w:tentative="0">
      <w:start w:val="17"/>
      <w:numFmt w:val="decimal"/>
      <w:suff w:val="nothing"/>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YTFjNDgyZjgyOTEzMDM3MTE1NzE5MWZjNzQwODcifQ=="/>
  </w:docVars>
  <w:rsids>
    <w:rsidRoot w:val="00000000"/>
    <w:rsid w:val="000B00AD"/>
    <w:rsid w:val="005D4603"/>
    <w:rsid w:val="019B3634"/>
    <w:rsid w:val="030D2310"/>
    <w:rsid w:val="039D2B57"/>
    <w:rsid w:val="03B409DD"/>
    <w:rsid w:val="04D05CEB"/>
    <w:rsid w:val="04DF2D42"/>
    <w:rsid w:val="05A21435"/>
    <w:rsid w:val="06624F15"/>
    <w:rsid w:val="077E1A2E"/>
    <w:rsid w:val="09127C23"/>
    <w:rsid w:val="0A5627EE"/>
    <w:rsid w:val="0B7D0453"/>
    <w:rsid w:val="0C776A4C"/>
    <w:rsid w:val="0D444B80"/>
    <w:rsid w:val="0DD00B0A"/>
    <w:rsid w:val="0F1D1B2D"/>
    <w:rsid w:val="0F6132DB"/>
    <w:rsid w:val="104355C3"/>
    <w:rsid w:val="10F93ED3"/>
    <w:rsid w:val="118A3AC3"/>
    <w:rsid w:val="11AA7722"/>
    <w:rsid w:val="11F254F3"/>
    <w:rsid w:val="148B578A"/>
    <w:rsid w:val="153C6A85"/>
    <w:rsid w:val="162771B0"/>
    <w:rsid w:val="174560C4"/>
    <w:rsid w:val="18C36F66"/>
    <w:rsid w:val="19263CD4"/>
    <w:rsid w:val="1994051F"/>
    <w:rsid w:val="19E217B5"/>
    <w:rsid w:val="1AC76DF0"/>
    <w:rsid w:val="1B7A00D6"/>
    <w:rsid w:val="1BAB6170"/>
    <w:rsid w:val="1C6C7C4F"/>
    <w:rsid w:val="1CEE4B08"/>
    <w:rsid w:val="1D2624F4"/>
    <w:rsid w:val="1D8E3BF5"/>
    <w:rsid w:val="1E907D69"/>
    <w:rsid w:val="1E9A6CF6"/>
    <w:rsid w:val="1EC41FC5"/>
    <w:rsid w:val="1ED41ADC"/>
    <w:rsid w:val="20846AAF"/>
    <w:rsid w:val="223C00C4"/>
    <w:rsid w:val="234C2589"/>
    <w:rsid w:val="25537BFE"/>
    <w:rsid w:val="26753BA5"/>
    <w:rsid w:val="2A1074FE"/>
    <w:rsid w:val="2A2E0C3A"/>
    <w:rsid w:val="2E725599"/>
    <w:rsid w:val="2FC5794B"/>
    <w:rsid w:val="30C669DA"/>
    <w:rsid w:val="31104D9E"/>
    <w:rsid w:val="31286F6B"/>
    <w:rsid w:val="31B639EF"/>
    <w:rsid w:val="332826CA"/>
    <w:rsid w:val="338E62A6"/>
    <w:rsid w:val="35496928"/>
    <w:rsid w:val="3637240D"/>
    <w:rsid w:val="36A04C6E"/>
    <w:rsid w:val="36E508D2"/>
    <w:rsid w:val="38003C16"/>
    <w:rsid w:val="383C2774"/>
    <w:rsid w:val="384635F3"/>
    <w:rsid w:val="3950297B"/>
    <w:rsid w:val="39E3734B"/>
    <w:rsid w:val="3ABE667C"/>
    <w:rsid w:val="3B2E496A"/>
    <w:rsid w:val="3BF21DDC"/>
    <w:rsid w:val="3C5502A8"/>
    <w:rsid w:val="3C9C5ED7"/>
    <w:rsid w:val="3D7D1865"/>
    <w:rsid w:val="4000052B"/>
    <w:rsid w:val="414F44BA"/>
    <w:rsid w:val="41986C6D"/>
    <w:rsid w:val="42E47C90"/>
    <w:rsid w:val="434626F9"/>
    <w:rsid w:val="45462E84"/>
    <w:rsid w:val="465810C1"/>
    <w:rsid w:val="469F3711"/>
    <w:rsid w:val="46D70238"/>
    <w:rsid w:val="472F1E22"/>
    <w:rsid w:val="4BF076A6"/>
    <w:rsid w:val="4C602A7D"/>
    <w:rsid w:val="4D5604F0"/>
    <w:rsid w:val="4DB841F3"/>
    <w:rsid w:val="4DC4528E"/>
    <w:rsid w:val="4F6B06D5"/>
    <w:rsid w:val="506A7E14"/>
    <w:rsid w:val="5079410E"/>
    <w:rsid w:val="50C51402"/>
    <w:rsid w:val="596F2BE8"/>
    <w:rsid w:val="59853B23"/>
    <w:rsid w:val="59C363FA"/>
    <w:rsid w:val="5AA93841"/>
    <w:rsid w:val="5AC4067B"/>
    <w:rsid w:val="5B70610D"/>
    <w:rsid w:val="5BE32D83"/>
    <w:rsid w:val="5C07081F"/>
    <w:rsid w:val="5C2313D1"/>
    <w:rsid w:val="5C797243"/>
    <w:rsid w:val="5DAA3B58"/>
    <w:rsid w:val="5DD415C7"/>
    <w:rsid w:val="5F347CF2"/>
    <w:rsid w:val="5F3A715E"/>
    <w:rsid w:val="61EF2482"/>
    <w:rsid w:val="63CB4828"/>
    <w:rsid w:val="63E63410"/>
    <w:rsid w:val="645111D2"/>
    <w:rsid w:val="64C33752"/>
    <w:rsid w:val="660758C0"/>
    <w:rsid w:val="67545D9F"/>
    <w:rsid w:val="696857EA"/>
    <w:rsid w:val="696C43B8"/>
    <w:rsid w:val="6A576E16"/>
    <w:rsid w:val="6A976F45"/>
    <w:rsid w:val="6AC65D4A"/>
    <w:rsid w:val="6B7E6624"/>
    <w:rsid w:val="6BA240C1"/>
    <w:rsid w:val="6BF3491C"/>
    <w:rsid w:val="6D7B222A"/>
    <w:rsid w:val="6E380D0C"/>
    <w:rsid w:val="6EBA7973"/>
    <w:rsid w:val="71724535"/>
    <w:rsid w:val="74E93225"/>
    <w:rsid w:val="7596337E"/>
    <w:rsid w:val="75D54525"/>
    <w:rsid w:val="76206C56"/>
    <w:rsid w:val="762878B8"/>
    <w:rsid w:val="76336053"/>
    <w:rsid w:val="77416E84"/>
    <w:rsid w:val="78CF05DD"/>
    <w:rsid w:val="78D55503"/>
    <w:rsid w:val="78DE6954"/>
    <w:rsid w:val="7A7430CC"/>
    <w:rsid w:val="7ABC7022"/>
    <w:rsid w:val="7B3665D4"/>
    <w:rsid w:val="7D0270B5"/>
    <w:rsid w:val="7D124E1E"/>
    <w:rsid w:val="7F21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autoRedefine/>
    <w:unhideWhenUsed/>
    <w:qFormat/>
    <w:uiPriority w:val="9"/>
    <w:pPr>
      <w:widowControl w:val="0"/>
      <w:kinsoku w:val="0"/>
      <w:autoSpaceDE w:val="0"/>
      <w:autoSpaceDN w:val="0"/>
      <w:adjustRightInd/>
      <w:snapToGrid/>
      <w:spacing w:before="100" w:beforeAutospacing="1" w:after="100" w:afterAutospacing="1" w:line="240" w:lineRule="auto"/>
      <w:jc w:val="left"/>
      <w:textAlignment w:val="baseline"/>
      <w:outlineLvl w:val="2"/>
    </w:pPr>
    <w:rPr>
      <w:rFonts w:hint="eastAsia" w:ascii="宋体" w:hAnsi="宋体" w:eastAsia="宋体" w:cs="Arial"/>
      <w:b/>
      <w:snapToGrid w:val="0"/>
      <w:color w:val="000000"/>
      <w:kern w:val="0"/>
      <w:sz w:val="27"/>
      <w:szCs w:val="27"/>
    </w:rPr>
  </w:style>
  <w:style w:type="paragraph" w:styleId="4">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Arial" w:hAnsi="Arial" w:eastAsia="Arial" w:cs="Arial"/>
      <w:sz w:val="21"/>
      <w:szCs w:val="21"/>
      <w:lang w:val="en-US" w:eastAsia="en-US" w:bidi="ar-SA"/>
    </w:rPr>
  </w:style>
  <w:style w:type="paragraph" w:styleId="6">
    <w:name w:val="Body Text Indent"/>
    <w:basedOn w:val="1"/>
    <w:unhideWhenUsed/>
    <w:qFormat/>
    <w:uiPriority w:val="99"/>
    <w:pPr>
      <w:spacing w:after="120" w:afterLines="0"/>
      <w:ind w:left="420" w:leftChars="200"/>
    </w:pPr>
    <w:rPr>
      <w:rFonts w:ascii="Calibri" w:hAnsi="Calibri" w:eastAsia="宋体" w:cs="Times New Roman"/>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next w:val="11"/>
    <w:qFormat/>
    <w:uiPriority w:val="99"/>
    <w:pPr>
      <w:widowControl/>
      <w:kinsoku w:val="0"/>
      <w:autoSpaceDE w:val="0"/>
      <w:autoSpaceDN w:val="0"/>
      <w:adjustRightInd w:val="0"/>
      <w:snapToGrid w:val="0"/>
      <w:spacing w:after="140" w:line="276" w:lineRule="auto"/>
      <w:ind w:firstLine="420" w:firstLineChars="100"/>
      <w:jc w:val="left"/>
      <w:textAlignment w:val="baseline"/>
    </w:pPr>
    <w:rPr>
      <w:rFonts w:eastAsia="仿宋_GB2312" w:cs="Arial"/>
      <w:color w:val="000000"/>
      <w:kern w:val="0"/>
      <w:sz w:val="32"/>
      <w:szCs w:val="21"/>
    </w:rPr>
  </w:style>
  <w:style w:type="paragraph" w:styleId="11">
    <w:name w:val="Body Text First Indent 2"/>
    <w:basedOn w:val="6"/>
    <w:next w:val="10"/>
    <w:qFormat/>
    <w:uiPriority w:val="99"/>
    <w:pPr>
      <w:widowControl/>
      <w:kinsoku w:val="0"/>
      <w:autoSpaceDE w:val="0"/>
      <w:autoSpaceDN w:val="0"/>
      <w:adjustRightInd w:val="0"/>
      <w:snapToGrid w:val="0"/>
      <w:spacing w:after="0"/>
      <w:ind w:firstLine="420" w:firstLineChars="200"/>
      <w:jc w:val="left"/>
      <w:textAlignment w:val="baseline"/>
    </w:pPr>
    <w:rPr>
      <w:rFonts w:ascii="Arial" w:hAnsi="Arial" w:cs="Arial"/>
      <w:color w:val="000000"/>
      <w:kern w:val="0"/>
      <w:szCs w:val="21"/>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5744</Words>
  <Characters>5883</Characters>
  <Lines>0</Lines>
  <Paragraphs>0</Paragraphs>
  <TotalTime>12</TotalTime>
  <ScaleCrop>false</ScaleCrop>
  <LinksUpToDate>false</LinksUpToDate>
  <CharactersWithSpaces>5926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2024-04-17T08:17:00Z</dcterms:created>
  <dc:creator>Administrator</dc:creator>
  <cp:lastModifiedBy>yt</cp:lastModifiedBy>
  <cp:lastPrinted>2024-06-18T09:31:00Z</cp:lastPrinted>
  <dcterms:modified xsi:type="dcterms:W3CDTF">2024-07-10T08:04:41Z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E16A377AB52F44EAB744A2E3A28AFE9E_13</vt:lpwstr>
  </property>
</Properties>
</file>