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目录</w:t>
      </w:r>
    </w:p>
    <w:sdt>
      <w:sdtPr>
        <w:rPr>
          <w:rFonts w:ascii="宋体" w:hAnsi="宋体" w:eastAsia="宋体"/>
        </w:rPr>
        <w:id w:val="147461952"/>
        <w:docPartObj>
          <w:docPartGallery w:val="Table of Contents"/>
          <w:docPartUnique/>
        </w:docPartObj>
      </w:sdtPr>
      <w:sdtEndPr>
        <w:rPr>
          <w:rFonts w:ascii="方正小标宋简体" w:hAnsi="方正小标宋简体" w:eastAsia="方正小标宋简体" w:cs="方正小标宋简体"/>
          <w:b/>
          <w:szCs w:val="32"/>
        </w:rPr>
      </w:sdtEndPr>
      <w:sdtContent>
        <w:p>
          <w:pPr>
            <w:rPr>
              <w:rFonts w:ascii="方正小标宋简体" w:hAnsi="方正小标宋简体" w:eastAsia="方正小标宋简体" w:cs="方正小标宋简体"/>
              <w:b/>
              <w:szCs w:val="32"/>
            </w:rPr>
          </w:pPr>
          <w:r>
            <w:rPr>
              <w:rFonts w:ascii="方正小标宋简体" w:hAnsi="方正小标宋简体" w:eastAsia="方正小标宋简体" w:cs="方正小标宋简体"/>
              <w:sz w:val="32"/>
              <w:szCs w:val="32"/>
            </w:rPr>
            <w:fldChar w:fldCharType="begin"/>
          </w:r>
          <w:r>
            <w:rPr>
              <w:rFonts w:ascii="方正小标宋简体" w:hAnsi="方正小标宋简体" w:eastAsia="方正小标宋简体" w:cs="方正小标宋简体"/>
              <w:sz w:val="32"/>
              <w:szCs w:val="32"/>
            </w:rPr>
            <w:instrText xml:space="preserve">TOC \o "1-2" \h \u </w:instrText>
          </w:r>
          <w:r>
            <w:rPr>
              <w:rFonts w:ascii="方正小标宋简体" w:hAnsi="方正小标宋简体" w:eastAsia="方正小标宋简体" w:cs="方正小标宋简体"/>
              <w:sz w:val="32"/>
              <w:szCs w:val="32"/>
            </w:rPr>
            <w:fldChar w:fldCharType="separate"/>
          </w:r>
          <w:r>
            <w:fldChar w:fldCharType="begin"/>
          </w:r>
          <w:r>
            <w:instrText xml:space="preserve"> HYPERLINK \l "_Toc5628" </w:instrText>
          </w:r>
          <w:r>
            <w:fldChar w:fldCharType="separate"/>
          </w:r>
          <w:r>
            <w:fldChar w:fldCharType="end"/>
          </w:r>
          <w:r>
            <w:fldChar w:fldCharType="begin"/>
          </w:r>
          <w:r>
            <w:instrText xml:space="preserve"> HYPERLINK \l "_Toc28126" </w:instrText>
          </w:r>
          <w:r>
            <w:fldChar w:fldCharType="separate"/>
          </w:r>
          <w:r>
            <w:rPr>
              <w:rFonts w:hint="eastAsia" w:ascii="宋体" w:hAnsi="宋体" w:eastAsia="宋体" w:cs="宋体"/>
              <w:sz w:val="24"/>
            </w:rPr>
            <w:t>1　总则</w:t>
          </w:r>
          <w:r>
            <w:rPr>
              <w:rFonts w:hint="eastAsia" w:ascii="宋体" w:hAnsi="宋体" w:eastAsia="宋体" w:cs="宋体"/>
              <w:sz w:val="24"/>
            </w:rPr>
            <w:fldChar w:fldCharType="end"/>
          </w:r>
        </w:p>
        <w:p>
          <w:pPr>
            <w:pStyle w:val="9"/>
            <w:tabs>
              <w:tab w:val="right" w:leader="dot" w:pos="8306"/>
            </w:tabs>
            <w:spacing w:line="420" w:lineRule="exact"/>
            <w:rPr>
              <w:sz w:val="24"/>
            </w:rPr>
          </w:pPr>
          <w:r>
            <w:fldChar w:fldCharType="begin"/>
          </w:r>
          <w:r>
            <w:instrText xml:space="preserve"> HYPERLINK \l "_Toc17539" </w:instrText>
          </w:r>
          <w:r>
            <w:fldChar w:fldCharType="separate"/>
          </w:r>
          <w:r>
            <w:rPr>
              <w:rFonts w:hint="eastAsia" w:ascii="宋体" w:hAnsi="宋体" w:eastAsia="宋体" w:cs="宋体"/>
              <w:sz w:val="24"/>
            </w:rPr>
            <w:t>1.1编制目的</w:t>
          </w:r>
          <w:r>
            <w:rPr>
              <w:sz w:val="24"/>
            </w:rPr>
            <w:tab/>
          </w:r>
          <w:r>
            <w:rPr>
              <w:sz w:val="24"/>
            </w:rPr>
            <w:fldChar w:fldCharType="begin"/>
          </w:r>
          <w:r>
            <w:rPr>
              <w:sz w:val="24"/>
            </w:rPr>
            <w:instrText xml:space="preserve"> PAGEREF _Toc17539 \h </w:instrText>
          </w:r>
          <w:r>
            <w:rPr>
              <w:sz w:val="24"/>
            </w:rPr>
            <w:fldChar w:fldCharType="separate"/>
          </w:r>
          <w:r>
            <w:rPr>
              <w:sz w:val="24"/>
            </w:rPr>
            <w:t>1</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"_Toc21924" </w:instrText>
          </w:r>
          <w:r>
            <w:fldChar w:fldCharType="separate"/>
          </w:r>
          <w:r>
            <w:rPr>
              <w:rFonts w:hint="eastAsia" w:ascii="宋体" w:hAnsi="宋体" w:eastAsia="宋体" w:cs="宋体"/>
              <w:sz w:val="24"/>
            </w:rPr>
            <w:t>1.2编制依据</w:t>
          </w:r>
          <w:r>
            <w:rPr>
              <w:sz w:val="24"/>
            </w:rPr>
            <w:tab/>
          </w:r>
          <w:r>
            <w:rPr>
              <w:sz w:val="24"/>
            </w:rPr>
            <w:fldChar w:fldCharType="begin"/>
          </w:r>
          <w:r>
            <w:rPr>
              <w:sz w:val="24"/>
            </w:rPr>
            <w:instrText xml:space="preserve"> PAGEREF _Toc21924 \h </w:instrText>
          </w:r>
          <w:r>
            <w:rPr>
              <w:sz w:val="24"/>
            </w:rPr>
            <w:fldChar w:fldCharType="separate"/>
          </w:r>
          <w:r>
            <w:rPr>
              <w:sz w:val="24"/>
            </w:rPr>
            <w:t>1</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"_Toc4934" </w:instrText>
          </w:r>
          <w:r>
            <w:fldChar w:fldCharType="separate"/>
          </w:r>
          <w:r>
            <w:rPr>
              <w:rFonts w:hint="eastAsia" w:ascii="宋体" w:hAnsi="宋体" w:eastAsia="宋体" w:cs="宋体"/>
              <w:sz w:val="24"/>
            </w:rPr>
            <w:t>1.3工作原则</w:t>
          </w:r>
          <w:r>
            <w:rPr>
              <w:sz w:val="24"/>
            </w:rPr>
            <w:tab/>
          </w:r>
          <w:r>
            <w:rPr>
              <w:sz w:val="24"/>
            </w:rPr>
            <w:fldChar w:fldCharType="begin"/>
          </w:r>
          <w:r>
            <w:rPr>
              <w:sz w:val="24"/>
            </w:rPr>
            <w:instrText xml:space="preserve"> PAGEREF _Toc4934 \h </w:instrText>
          </w:r>
          <w:r>
            <w:rPr>
              <w:sz w:val="24"/>
            </w:rPr>
            <w:fldChar w:fldCharType="separate"/>
          </w:r>
          <w:r>
            <w:rPr>
              <w:sz w:val="24"/>
            </w:rPr>
            <w:t>1</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"_Toc14016" </w:instrText>
          </w:r>
          <w:r>
            <w:fldChar w:fldCharType="separate"/>
          </w:r>
          <w:r>
            <w:rPr>
              <w:rFonts w:hint="eastAsia" w:ascii="宋体" w:hAnsi="宋体" w:eastAsia="宋体" w:cs="宋体"/>
              <w:sz w:val="24"/>
            </w:rPr>
            <w:t>1.4适用范围</w:t>
          </w:r>
          <w:r>
            <w:rPr>
              <w:sz w:val="24"/>
            </w:rPr>
            <w:tab/>
          </w:r>
          <w:r>
            <w:rPr>
              <w:sz w:val="24"/>
            </w:rPr>
            <w:fldChar w:fldCharType="begin"/>
          </w:r>
          <w:r>
            <w:rPr>
              <w:sz w:val="24"/>
            </w:rPr>
            <w:instrText xml:space="preserve"> PAGEREF _Toc14016 \h </w:instrText>
          </w:r>
          <w:r>
            <w:rPr>
              <w:sz w:val="24"/>
            </w:rPr>
            <w:fldChar w:fldCharType="separate"/>
          </w:r>
          <w:r>
            <w:rPr>
              <w:sz w:val="24"/>
            </w:rPr>
            <w:t>2</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"_Toc26849" </w:instrText>
          </w:r>
          <w:r>
            <w:fldChar w:fldCharType="separate"/>
          </w:r>
          <w:r>
            <w:rPr>
              <w:rFonts w:hint="eastAsia" w:ascii="宋体" w:hAnsi="宋体" w:eastAsia="宋体" w:cs="宋体"/>
              <w:sz w:val="24"/>
            </w:rPr>
            <w:t>1.5地震灾害分级</w:t>
          </w:r>
          <w:r>
            <w:rPr>
              <w:sz w:val="24"/>
            </w:rPr>
            <w:tab/>
          </w:r>
          <w:r>
            <w:rPr>
              <w:sz w:val="24"/>
            </w:rPr>
            <w:fldChar w:fldCharType="begin"/>
          </w:r>
          <w:r>
            <w:rPr>
              <w:sz w:val="24"/>
            </w:rPr>
            <w:instrText xml:space="preserve"> PAGEREF _Toc26849 \h </w:instrText>
          </w:r>
          <w:r>
            <w:rPr>
              <w:sz w:val="24"/>
            </w:rPr>
            <w:fldChar w:fldCharType="separate"/>
          </w:r>
          <w:r>
            <w:rPr>
              <w:sz w:val="24"/>
            </w:rPr>
            <w:t>2</w:t>
          </w:r>
          <w:r>
            <w:rPr>
              <w:sz w:val="24"/>
            </w:rPr>
            <w:fldChar w:fldCharType="end"/>
          </w:r>
          <w:r>
            <w:rPr>
              <w:sz w:val="24"/>
            </w:rPr>
            <w:fldChar w:fldCharType="end"/>
          </w:r>
        </w:p>
        <w:p>
          <w:pPr>
            <w:pStyle w:val="8"/>
            <w:tabs>
              <w:tab w:val="right" w:leader="dot" w:pos="8306"/>
            </w:tabs>
            <w:spacing w:line="420" w:lineRule="exact"/>
            <w:rPr>
              <w:sz w:val="24"/>
            </w:rPr>
          </w:pPr>
          <w:r>
            <w:fldChar w:fldCharType="begin"/>
          </w:r>
          <w:r>
            <w:instrText xml:space="preserve"> HYPERLINK \l "_Toc10178" </w:instrText>
          </w:r>
          <w:r>
            <w:fldChar w:fldCharType="separate"/>
          </w:r>
          <w:r>
            <w:rPr>
              <w:rFonts w:hint="eastAsia" w:ascii="宋体" w:hAnsi="宋体" w:eastAsia="宋体" w:cs="宋体"/>
              <w:sz w:val="24"/>
            </w:rPr>
            <w:t>2  抗震救灾指挥体系</w:t>
          </w:r>
          <w:r>
            <w:rPr>
              <w:sz w:val="24"/>
            </w:rPr>
            <w:tab/>
          </w:r>
          <w:r>
            <w:rPr>
              <w:sz w:val="24"/>
            </w:rPr>
            <w:fldChar w:fldCharType="begin"/>
          </w:r>
          <w:r>
            <w:rPr>
              <w:sz w:val="24"/>
            </w:rPr>
            <w:instrText xml:space="preserve"> PAGEREF _Toc10178 \h </w:instrText>
          </w:r>
          <w:r>
            <w:rPr>
              <w:sz w:val="24"/>
            </w:rPr>
            <w:fldChar w:fldCharType="separate"/>
          </w:r>
          <w:r>
            <w:rPr>
              <w:sz w:val="24"/>
            </w:rPr>
            <w:t>2</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"_Toc10877" </w:instrText>
          </w:r>
          <w:r>
            <w:fldChar w:fldCharType="separate"/>
          </w:r>
          <w:r>
            <w:rPr>
              <w:rFonts w:hint="eastAsia" w:ascii="宋体" w:hAnsi="宋体" w:eastAsia="宋体" w:cs="宋体"/>
              <w:sz w:val="24"/>
            </w:rPr>
            <w:t>2.1县抗震救灾指挥部</w:t>
          </w:r>
          <w:r>
            <w:rPr>
              <w:sz w:val="24"/>
            </w:rPr>
            <w:tab/>
          </w:r>
          <w:r>
            <w:rPr>
              <w:sz w:val="24"/>
            </w:rPr>
            <w:fldChar w:fldCharType="begin"/>
          </w:r>
          <w:r>
            <w:rPr>
              <w:sz w:val="24"/>
            </w:rPr>
            <w:instrText xml:space="preserve"> PAGEREF _Toc10877 \h </w:instrText>
          </w:r>
          <w:r>
            <w:rPr>
              <w:sz w:val="24"/>
            </w:rPr>
            <w:fldChar w:fldCharType="separate"/>
          </w:r>
          <w:r>
            <w:rPr>
              <w:sz w:val="24"/>
            </w:rPr>
            <w:t>2</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"_Toc26276" </w:instrText>
          </w:r>
          <w:r>
            <w:fldChar w:fldCharType="separate"/>
          </w:r>
          <w:r>
            <w:rPr>
              <w:rFonts w:hint="eastAsia" w:ascii="宋体" w:hAnsi="宋体" w:eastAsia="宋体" w:cs="宋体"/>
              <w:sz w:val="24"/>
            </w:rPr>
            <w:t>2.2县抗震救灾指挥部办公室</w:t>
          </w:r>
          <w:r>
            <w:rPr>
              <w:sz w:val="24"/>
            </w:rPr>
            <w:tab/>
          </w:r>
          <w:r>
            <w:rPr>
              <w:sz w:val="24"/>
            </w:rPr>
            <w:fldChar w:fldCharType="begin"/>
          </w:r>
          <w:r>
            <w:rPr>
              <w:sz w:val="24"/>
            </w:rPr>
            <w:instrText xml:space="preserve"> PAGEREF _Toc26276 \h </w:instrText>
          </w:r>
          <w:r>
            <w:rPr>
              <w:sz w:val="24"/>
            </w:rPr>
            <w:fldChar w:fldCharType="separate"/>
          </w:r>
          <w:r>
            <w:rPr>
              <w:sz w:val="24"/>
            </w:rPr>
            <w:t>3</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"_Toc7643" </w:instrText>
          </w:r>
          <w:r>
            <w:fldChar w:fldCharType="separate"/>
          </w:r>
          <w:r>
            <w:rPr>
              <w:rFonts w:hint="eastAsia" w:ascii="宋体" w:hAnsi="宋体" w:eastAsia="宋体" w:cs="宋体"/>
              <w:sz w:val="24"/>
            </w:rPr>
            <w:t>2.3现场指挥部</w:t>
          </w:r>
          <w:r>
            <w:rPr>
              <w:sz w:val="24"/>
            </w:rPr>
            <w:tab/>
          </w:r>
          <w:r>
            <w:rPr>
              <w:sz w:val="24"/>
            </w:rPr>
            <w:fldChar w:fldCharType="begin"/>
          </w:r>
          <w:r>
            <w:rPr>
              <w:sz w:val="24"/>
            </w:rPr>
            <w:instrText xml:space="preserve"> PAGEREF _Toc7643 \h </w:instrText>
          </w:r>
          <w:r>
            <w:rPr>
              <w:sz w:val="24"/>
            </w:rPr>
            <w:fldChar w:fldCharType="separate"/>
          </w:r>
          <w:r>
            <w:rPr>
              <w:sz w:val="24"/>
            </w:rPr>
            <w:t>4</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"_Toc19231" </w:instrText>
          </w:r>
          <w:r>
            <w:fldChar w:fldCharType="separate"/>
          </w:r>
          <w:r>
            <w:rPr>
              <w:rFonts w:hint="eastAsia" w:ascii="宋体" w:hAnsi="宋体" w:eastAsia="宋体" w:cs="宋体"/>
              <w:sz w:val="24"/>
            </w:rPr>
            <w:t>2.4现场指挥部工作组组成及职责</w:t>
          </w:r>
          <w:r>
            <w:rPr>
              <w:sz w:val="24"/>
            </w:rPr>
            <w:tab/>
          </w:r>
          <w:r>
            <w:rPr>
              <w:sz w:val="24"/>
            </w:rPr>
            <w:fldChar w:fldCharType="begin"/>
          </w:r>
          <w:r>
            <w:rPr>
              <w:sz w:val="24"/>
            </w:rPr>
            <w:instrText xml:space="preserve"> PAGEREF _Toc19231 \h </w:instrText>
          </w:r>
          <w:r>
            <w:rPr>
              <w:sz w:val="24"/>
            </w:rPr>
            <w:fldChar w:fldCharType="separate"/>
          </w:r>
          <w:r>
            <w:rPr>
              <w:sz w:val="24"/>
            </w:rPr>
            <w:t>4</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"_Toc18630" </w:instrText>
          </w:r>
          <w:r>
            <w:fldChar w:fldCharType="separate"/>
          </w:r>
          <w:r>
            <w:rPr>
              <w:rFonts w:hint="eastAsia" w:ascii="宋体" w:hAnsi="宋体" w:eastAsia="宋体" w:cs="楷体_GB2312"/>
              <w:sz w:val="24"/>
            </w:rPr>
            <w:t>2.5乡（镇）抗震救灾指挥机构</w:t>
          </w:r>
          <w:r>
            <w:rPr>
              <w:sz w:val="24"/>
            </w:rPr>
            <w:tab/>
          </w:r>
          <w:r>
            <w:rPr>
              <w:sz w:val="24"/>
            </w:rPr>
            <w:fldChar w:fldCharType="begin"/>
          </w:r>
          <w:r>
            <w:rPr>
              <w:sz w:val="24"/>
            </w:rPr>
            <w:instrText xml:space="preserve"> PAGEREF _Toc18630 \h </w:instrText>
          </w:r>
          <w:r>
            <w:rPr>
              <w:sz w:val="24"/>
            </w:rPr>
            <w:fldChar w:fldCharType="separate"/>
          </w:r>
          <w:r>
            <w:rPr>
              <w:sz w:val="24"/>
            </w:rPr>
            <w:t>9</w:t>
          </w:r>
          <w:r>
            <w:rPr>
              <w:sz w:val="24"/>
            </w:rPr>
            <w:fldChar w:fldCharType="end"/>
          </w:r>
          <w:r>
            <w:rPr>
              <w:sz w:val="24"/>
            </w:rPr>
            <w:fldChar w:fldCharType="end"/>
          </w:r>
        </w:p>
        <w:p>
          <w:pPr>
            <w:pStyle w:val="8"/>
            <w:tabs>
              <w:tab w:val="right" w:leader="dot" w:pos="8306"/>
            </w:tabs>
            <w:spacing w:line="420" w:lineRule="exact"/>
            <w:rPr>
              <w:sz w:val="24"/>
            </w:rPr>
          </w:pPr>
          <w:r>
            <w:fldChar w:fldCharType="begin"/>
          </w:r>
          <w:r>
            <w:instrText xml:space="preserve"> HYPERLINK \l "_Toc1259" </w:instrText>
          </w:r>
          <w:r>
            <w:fldChar w:fldCharType="separate"/>
          </w:r>
          <w:r>
            <w:rPr>
              <w:rFonts w:hint="eastAsia" w:ascii="宋体" w:hAnsi="宋体" w:eastAsia="宋体" w:cs="宋体"/>
              <w:sz w:val="24"/>
            </w:rPr>
            <w:t>3  风险识别防控</w:t>
          </w:r>
          <w:r>
            <w:rPr>
              <w:sz w:val="24"/>
            </w:rPr>
            <w:tab/>
          </w:r>
          <w:r>
            <w:rPr>
              <w:sz w:val="24"/>
            </w:rPr>
            <w:fldChar w:fldCharType="begin"/>
          </w:r>
          <w:r>
            <w:rPr>
              <w:sz w:val="24"/>
            </w:rPr>
            <w:instrText xml:space="preserve"> PAGEREF _Toc1259 \h </w:instrText>
          </w:r>
          <w:r>
            <w:rPr>
              <w:sz w:val="24"/>
            </w:rPr>
            <w:fldChar w:fldCharType="separate"/>
          </w:r>
          <w:r>
            <w:rPr>
              <w:sz w:val="24"/>
            </w:rPr>
            <w:t>9</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"_Toc8418" </w:instrText>
          </w:r>
          <w:r>
            <w:fldChar w:fldCharType="separate"/>
          </w:r>
          <w:r>
            <w:rPr>
              <w:rFonts w:hint="eastAsia" w:ascii="宋体" w:hAnsi="宋体" w:eastAsia="宋体" w:cs="楷体_GB2312"/>
              <w:sz w:val="24"/>
            </w:rPr>
            <w:t>3.1风险识别</w:t>
          </w:r>
          <w:r>
            <w:rPr>
              <w:sz w:val="24"/>
            </w:rPr>
            <w:tab/>
          </w:r>
          <w:r>
            <w:rPr>
              <w:sz w:val="24"/>
            </w:rPr>
            <w:fldChar w:fldCharType="begin"/>
          </w:r>
          <w:r>
            <w:rPr>
              <w:sz w:val="24"/>
            </w:rPr>
            <w:instrText xml:space="preserve"> PAGEREF _Toc8418 \h </w:instrText>
          </w:r>
          <w:r>
            <w:rPr>
              <w:sz w:val="24"/>
            </w:rPr>
            <w:fldChar w:fldCharType="separate"/>
          </w:r>
          <w:r>
            <w:rPr>
              <w:sz w:val="24"/>
            </w:rPr>
            <w:t>9</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"_Toc19639" </w:instrText>
          </w:r>
          <w:r>
            <w:fldChar w:fldCharType="separate"/>
          </w:r>
          <w:r>
            <w:rPr>
              <w:rFonts w:hint="eastAsia" w:ascii="宋体" w:hAnsi="宋体" w:eastAsia="宋体" w:cs="楷体_GB2312"/>
              <w:sz w:val="24"/>
            </w:rPr>
            <w:t>3.2风险提示</w:t>
          </w:r>
          <w:r>
            <w:rPr>
              <w:sz w:val="24"/>
            </w:rPr>
            <w:tab/>
          </w:r>
          <w:r>
            <w:rPr>
              <w:sz w:val="24"/>
            </w:rPr>
            <w:fldChar w:fldCharType="begin"/>
          </w:r>
          <w:r>
            <w:rPr>
              <w:sz w:val="24"/>
            </w:rPr>
            <w:instrText xml:space="preserve"> PAGEREF _Toc19639 \h </w:instrText>
          </w:r>
          <w:r>
            <w:rPr>
              <w:sz w:val="24"/>
            </w:rPr>
            <w:fldChar w:fldCharType="separate"/>
          </w:r>
          <w:r>
            <w:rPr>
              <w:sz w:val="24"/>
            </w:rPr>
            <w:t>10</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"_Toc14138" </w:instrText>
          </w:r>
          <w:r>
            <w:fldChar w:fldCharType="separate"/>
          </w:r>
          <w:r>
            <w:rPr>
              <w:rFonts w:hint="eastAsia" w:ascii="宋体" w:hAnsi="宋体" w:eastAsia="宋体" w:cs="楷体_GB2312"/>
              <w:sz w:val="24"/>
            </w:rPr>
            <w:t>3.3风险管控</w:t>
          </w:r>
          <w:r>
            <w:rPr>
              <w:sz w:val="24"/>
            </w:rPr>
            <w:tab/>
          </w:r>
          <w:r>
            <w:rPr>
              <w:sz w:val="24"/>
            </w:rPr>
            <w:fldChar w:fldCharType="begin"/>
          </w:r>
          <w:r>
            <w:rPr>
              <w:sz w:val="24"/>
            </w:rPr>
            <w:instrText xml:space="preserve"> PAGEREF _Toc14138 \h </w:instrText>
          </w:r>
          <w:r>
            <w:rPr>
              <w:sz w:val="24"/>
            </w:rPr>
            <w:fldChar w:fldCharType="separate"/>
          </w:r>
          <w:r>
            <w:rPr>
              <w:sz w:val="24"/>
            </w:rPr>
            <w:t>10</w:t>
          </w:r>
          <w:r>
            <w:rPr>
              <w:sz w:val="24"/>
            </w:rPr>
            <w:fldChar w:fldCharType="end"/>
          </w:r>
          <w:r>
            <w:rPr>
              <w:sz w:val="24"/>
            </w:rPr>
            <w:fldChar w:fldCharType="end"/>
          </w:r>
        </w:p>
        <w:p>
          <w:pPr>
            <w:pStyle w:val="8"/>
            <w:tabs>
              <w:tab w:val="right" w:leader="dot" w:pos="8306"/>
            </w:tabs>
            <w:spacing w:line="420" w:lineRule="exact"/>
            <w:rPr>
              <w:sz w:val="24"/>
            </w:rPr>
          </w:pPr>
          <w:r>
            <w:fldChar w:fldCharType="begin"/>
          </w:r>
          <w:r>
            <w:instrText xml:space="preserve"> HYPERLINK \l "_Toc9752" </w:instrText>
          </w:r>
          <w:r>
            <w:fldChar w:fldCharType="separate"/>
          </w:r>
          <w:r>
            <w:rPr>
              <w:rFonts w:hint="eastAsia" w:ascii="宋体" w:hAnsi="宋体" w:eastAsia="宋体" w:cs="宋体"/>
              <w:sz w:val="24"/>
            </w:rPr>
            <w:t>4  应急准备</w:t>
          </w:r>
          <w:r>
            <w:rPr>
              <w:sz w:val="24"/>
            </w:rPr>
            <w:tab/>
          </w:r>
          <w:r>
            <w:rPr>
              <w:sz w:val="24"/>
            </w:rPr>
            <w:fldChar w:fldCharType="begin"/>
          </w:r>
          <w:r>
            <w:rPr>
              <w:sz w:val="24"/>
            </w:rPr>
            <w:instrText xml:space="preserve"> PAGEREF _Toc9752 \h </w:instrText>
          </w:r>
          <w:r>
            <w:rPr>
              <w:sz w:val="24"/>
            </w:rPr>
            <w:fldChar w:fldCharType="separate"/>
          </w:r>
          <w:r>
            <w:rPr>
              <w:sz w:val="24"/>
            </w:rPr>
            <w:t>10</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"_Toc9468" </w:instrText>
          </w:r>
          <w:r>
            <w:fldChar w:fldCharType="separate"/>
          </w:r>
          <w:r>
            <w:rPr>
              <w:rFonts w:hint="eastAsia" w:ascii="宋体" w:hAnsi="宋体" w:eastAsia="宋体" w:cs="楷体_GB2312"/>
              <w:sz w:val="24"/>
            </w:rPr>
            <w:t>4.1思想准备</w:t>
          </w:r>
          <w:r>
            <w:rPr>
              <w:sz w:val="24"/>
            </w:rPr>
            <w:tab/>
          </w:r>
          <w:r>
            <w:rPr>
              <w:sz w:val="24"/>
            </w:rPr>
            <w:fldChar w:fldCharType="begin"/>
          </w:r>
          <w:r>
            <w:rPr>
              <w:sz w:val="24"/>
            </w:rPr>
            <w:instrText xml:space="preserve"> PAGEREF _Toc9468 \h </w:instrText>
          </w:r>
          <w:r>
            <w:rPr>
              <w:sz w:val="24"/>
            </w:rPr>
            <w:fldChar w:fldCharType="separate"/>
          </w:r>
          <w:r>
            <w:rPr>
              <w:sz w:val="24"/>
            </w:rPr>
            <w:t>10</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"_Toc453" </w:instrText>
          </w:r>
          <w:r>
            <w:fldChar w:fldCharType="separate"/>
          </w:r>
          <w:r>
            <w:rPr>
              <w:rFonts w:hint="eastAsia" w:ascii="宋体" w:hAnsi="宋体" w:eastAsia="宋体" w:cs="楷体_GB2312"/>
              <w:sz w:val="24"/>
            </w:rPr>
            <w:t>4.2组织准备</w:t>
          </w:r>
          <w:r>
            <w:rPr>
              <w:sz w:val="24"/>
            </w:rPr>
            <w:tab/>
          </w:r>
          <w:r>
            <w:rPr>
              <w:sz w:val="24"/>
            </w:rPr>
            <w:fldChar w:fldCharType="begin"/>
          </w:r>
          <w:r>
            <w:rPr>
              <w:sz w:val="24"/>
            </w:rPr>
            <w:instrText xml:space="preserve"> PAGEREF _Toc453 \h </w:instrText>
          </w:r>
          <w:r>
            <w:rPr>
              <w:sz w:val="24"/>
            </w:rPr>
            <w:fldChar w:fldCharType="separate"/>
          </w:r>
          <w:r>
            <w:rPr>
              <w:sz w:val="24"/>
            </w:rPr>
            <w:t>10</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"_Toc27452" </w:instrText>
          </w:r>
          <w:r>
            <w:fldChar w:fldCharType="separate"/>
          </w:r>
          <w:r>
            <w:rPr>
              <w:rFonts w:hint="eastAsia" w:ascii="宋体" w:hAnsi="宋体" w:eastAsia="宋体" w:cs="楷体_GB2312"/>
              <w:sz w:val="24"/>
            </w:rPr>
            <w:t>4.3预案准备</w:t>
          </w:r>
          <w:r>
            <w:rPr>
              <w:sz w:val="24"/>
            </w:rPr>
            <w:tab/>
          </w:r>
          <w:r>
            <w:rPr>
              <w:sz w:val="24"/>
            </w:rPr>
            <w:fldChar w:fldCharType="begin"/>
          </w:r>
          <w:r>
            <w:rPr>
              <w:sz w:val="24"/>
            </w:rPr>
            <w:instrText xml:space="preserve"> PAGEREF _Toc27452 \h </w:instrText>
          </w:r>
          <w:r>
            <w:rPr>
              <w:sz w:val="24"/>
            </w:rPr>
            <w:fldChar w:fldCharType="separate"/>
          </w:r>
          <w:r>
            <w:rPr>
              <w:sz w:val="24"/>
            </w:rPr>
            <w:t>11</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"_Toc19157" </w:instrText>
          </w:r>
          <w:r>
            <w:fldChar w:fldCharType="separate"/>
          </w:r>
          <w:r>
            <w:rPr>
              <w:rFonts w:hint="eastAsia" w:ascii="宋体" w:hAnsi="宋体" w:eastAsia="宋体" w:cs="楷体_GB2312"/>
              <w:sz w:val="24"/>
            </w:rPr>
            <w:t>4.4物资准备</w:t>
          </w:r>
          <w:r>
            <w:rPr>
              <w:sz w:val="24"/>
            </w:rPr>
            <w:tab/>
          </w:r>
          <w:r>
            <w:rPr>
              <w:sz w:val="24"/>
            </w:rPr>
            <w:fldChar w:fldCharType="begin"/>
          </w:r>
          <w:r>
            <w:rPr>
              <w:sz w:val="24"/>
            </w:rPr>
            <w:instrText xml:space="preserve"> PAGEREF _Toc19157 \h </w:instrText>
          </w:r>
          <w:r>
            <w:rPr>
              <w:sz w:val="24"/>
            </w:rPr>
            <w:fldChar w:fldCharType="separate"/>
          </w:r>
          <w:r>
            <w:rPr>
              <w:sz w:val="24"/>
            </w:rPr>
            <w:t>12</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"_Toc17853" </w:instrText>
          </w:r>
          <w:r>
            <w:fldChar w:fldCharType="separate"/>
          </w:r>
          <w:r>
            <w:rPr>
              <w:rFonts w:hint="eastAsia" w:ascii="宋体" w:hAnsi="宋体" w:eastAsia="宋体" w:cs="楷体_GB2312"/>
              <w:sz w:val="24"/>
            </w:rPr>
            <w:t>4.5工程准备</w:t>
          </w:r>
          <w:r>
            <w:rPr>
              <w:sz w:val="24"/>
            </w:rPr>
            <w:tab/>
          </w:r>
          <w:r>
            <w:rPr>
              <w:sz w:val="24"/>
            </w:rPr>
            <w:fldChar w:fldCharType="begin"/>
          </w:r>
          <w:r>
            <w:rPr>
              <w:sz w:val="24"/>
            </w:rPr>
            <w:instrText xml:space="preserve"> PAGEREF _Toc17853 \h </w:instrText>
          </w:r>
          <w:r>
            <w:rPr>
              <w:sz w:val="24"/>
            </w:rPr>
            <w:fldChar w:fldCharType="separate"/>
          </w:r>
          <w:r>
            <w:rPr>
              <w:sz w:val="24"/>
            </w:rPr>
            <w:t>12</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"_Toc32482" </w:instrText>
          </w:r>
          <w:r>
            <w:fldChar w:fldCharType="separate"/>
          </w:r>
          <w:r>
            <w:rPr>
              <w:rFonts w:hint="eastAsia" w:ascii="宋体" w:hAnsi="宋体" w:eastAsia="宋体" w:cs="楷体_GB2312"/>
              <w:sz w:val="24"/>
            </w:rPr>
            <w:t>4.6应急力量准备</w:t>
          </w:r>
          <w:r>
            <w:rPr>
              <w:sz w:val="24"/>
            </w:rPr>
            <w:tab/>
          </w:r>
          <w:r>
            <w:rPr>
              <w:sz w:val="24"/>
            </w:rPr>
            <w:fldChar w:fldCharType="begin"/>
          </w:r>
          <w:r>
            <w:rPr>
              <w:sz w:val="24"/>
            </w:rPr>
            <w:instrText xml:space="preserve"> PAGEREF _Toc32482 \h </w:instrText>
          </w:r>
          <w:r>
            <w:rPr>
              <w:sz w:val="24"/>
            </w:rPr>
            <w:fldChar w:fldCharType="separate"/>
          </w:r>
          <w:r>
            <w:rPr>
              <w:sz w:val="24"/>
            </w:rPr>
            <w:t>12</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"_Toc12554" </w:instrText>
          </w:r>
          <w:r>
            <w:fldChar w:fldCharType="separate"/>
          </w:r>
          <w:r>
            <w:rPr>
              <w:rFonts w:hint="eastAsia" w:ascii="宋体" w:hAnsi="宋体" w:eastAsia="宋体" w:cs="楷体_GB2312"/>
              <w:sz w:val="24"/>
            </w:rPr>
            <w:t>4.7技术准备</w:t>
          </w:r>
          <w:r>
            <w:rPr>
              <w:sz w:val="24"/>
            </w:rPr>
            <w:tab/>
          </w:r>
          <w:r>
            <w:rPr>
              <w:sz w:val="24"/>
            </w:rPr>
            <w:fldChar w:fldCharType="begin"/>
          </w:r>
          <w:r>
            <w:rPr>
              <w:sz w:val="24"/>
            </w:rPr>
            <w:instrText xml:space="preserve"> PAGEREF _Toc12554 \h </w:instrText>
          </w:r>
          <w:r>
            <w:rPr>
              <w:sz w:val="24"/>
            </w:rPr>
            <w:fldChar w:fldCharType="separate"/>
          </w:r>
          <w:r>
            <w:rPr>
              <w:sz w:val="24"/>
            </w:rPr>
            <w:t>13</w:t>
          </w:r>
          <w:r>
            <w:rPr>
              <w:sz w:val="24"/>
            </w:rPr>
            <w:fldChar w:fldCharType="end"/>
          </w:r>
          <w:r>
            <w:rPr>
              <w:sz w:val="24"/>
            </w:rPr>
            <w:fldChar w:fldCharType="end"/>
          </w:r>
        </w:p>
        <w:p>
          <w:pPr>
            <w:pStyle w:val="8"/>
            <w:tabs>
              <w:tab w:val="right" w:leader="dot" w:pos="8306"/>
            </w:tabs>
            <w:spacing w:line="420" w:lineRule="exact"/>
            <w:rPr>
              <w:sz w:val="24"/>
            </w:rPr>
          </w:pPr>
          <w:r>
            <w:fldChar w:fldCharType="begin"/>
          </w:r>
          <w:r>
            <w:instrText xml:space="preserve"> HYPERLINK \l "_Toc12343" </w:instrText>
          </w:r>
          <w:r>
            <w:fldChar w:fldCharType="separate"/>
          </w:r>
          <w:r>
            <w:rPr>
              <w:rFonts w:hint="eastAsia" w:ascii="宋体" w:hAnsi="宋体" w:eastAsia="宋体" w:cs="宋体"/>
              <w:sz w:val="24"/>
            </w:rPr>
            <w:t>5  监测与预警</w:t>
          </w:r>
          <w:r>
            <w:rPr>
              <w:sz w:val="24"/>
            </w:rPr>
            <w:tab/>
          </w:r>
          <w:r>
            <w:rPr>
              <w:sz w:val="24"/>
            </w:rPr>
            <w:fldChar w:fldCharType="begin"/>
          </w:r>
          <w:r>
            <w:rPr>
              <w:sz w:val="24"/>
            </w:rPr>
            <w:instrText xml:space="preserve"> PAGEREF _Toc12343 \h </w:instrText>
          </w:r>
          <w:r>
            <w:rPr>
              <w:sz w:val="24"/>
            </w:rPr>
            <w:fldChar w:fldCharType="separate"/>
          </w:r>
          <w:r>
            <w:rPr>
              <w:sz w:val="24"/>
            </w:rPr>
            <w:t>13</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"_Toc9842" </w:instrText>
          </w:r>
          <w:r>
            <w:fldChar w:fldCharType="separate"/>
          </w:r>
          <w:r>
            <w:rPr>
              <w:rFonts w:hint="eastAsia" w:ascii="宋体" w:hAnsi="宋体" w:eastAsia="宋体" w:cs="宋体"/>
              <w:sz w:val="24"/>
            </w:rPr>
            <w:t>5.1  监测预报</w:t>
          </w:r>
          <w:r>
            <w:rPr>
              <w:sz w:val="24"/>
            </w:rPr>
            <w:tab/>
          </w:r>
          <w:r>
            <w:rPr>
              <w:sz w:val="24"/>
            </w:rPr>
            <w:fldChar w:fldCharType="begin"/>
          </w:r>
          <w:r>
            <w:rPr>
              <w:sz w:val="24"/>
            </w:rPr>
            <w:instrText xml:space="preserve"> PAGEREF _Toc9842 \h </w:instrText>
          </w:r>
          <w:r>
            <w:rPr>
              <w:sz w:val="24"/>
            </w:rPr>
            <w:fldChar w:fldCharType="separate"/>
          </w:r>
          <w:r>
            <w:rPr>
              <w:sz w:val="24"/>
            </w:rPr>
            <w:t>13</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"_Toc2672" </w:instrText>
          </w:r>
          <w:r>
            <w:fldChar w:fldCharType="separate"/>
          </w:r>
          <w:r>
            <w:rPr>
              <w:rFonts w:hint="eastAsia" w:ascii="宋体" w:hAnsi="宋体" w:eastAsia="宋体" w:cs="宋体"/>
              <w:sz w:val="24"/>
            </w:rPr>
            <w:t>5.2  震情速报</w:t>
          </w:r>
          <w:r>
            <w:rPr>
              <w:sz w:val="24"/>
            </w:rPr>
            <w:tab/>
          </w:r>
          <w:r>
            <w:rPr>
              <w:sz w:val="24"/>
            </w:rPr>
            <w:fldChar w:fldCharType="begin"/>
          </w:r>
          <w:r>
            <w:rPr>
              <w:sz w:val="24"/>
            </w:rPr>
            <w:instrText xml:space="preserve"> PAGEREF _Toc2672 \h </w:instrText>
          </w:r>
          <w:r>
            <w:rPr>
              <w:sz w:val="24"/>
            </w:rPr>
            <w:fldChar w:fldCharType="separate"/>
          </w:r>
          <w:r>
            <w:rPr>
              <w:sz w:val="24"/>
            </w:rPr>
            <w:t>14</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"_Toc25747" </w:instrText>
          </w:r>
          <w:r>
            <w:fldChar w:fldCharType="separate"/>
          </w:r>
          <w:r>
            <w:rPr>
              <w:rFonts w:hint="eastAsia" w:ascii="宋体" w:hAnsi="宋体" w:eastAsia="宋体" w:cs="宋体"/>
              <w:sz w:val="24"/>
            </w:rPr>
            <w:t>5.3  灾害预警</w:t>
          </w:r>
          <w:r>
            <w:rPr>
              <w:sz w:val="24"/>
            </w:rPr>
            <w:tab/>
          </w:r>
          <w:r>
            <w:rPr>
              <w:sz w:val="24"/>
            </w:rPr>
            <w:fldChar w:fldCharType="begin"/>
          </w:r>
          <w:r>
            <w:rPr>
              <w:sz w:val="24"/>
            </w:rPr>
            <w:instrText xml:space="preserve"> PAGEREF _Toc25747 \h </w:instrText>
          </w:r>
          <w:r>
            <w:rPr>
              <w:sz w:val="24"/>
            </w:rPr>
            <w:fldChar w:fldCharType="separate"/>
          </w:r>
          <w:r>
            <w:rPr>
              <w:sz w:val="24"/>
            </w:rPr>
            <w:t>14</w:t>
          </w:r>
          <w:r>
            <w:rPr>
              <w:sz w:val="24"/>
            </w:rPr>
            <w:fldChar w:fldCharType="end"/>
          </w:r>
          <w:r>
            <w:rPr>
              <w:sz w:val="24"/>
            </w:rPr>
            <w:fldChar w:fldCharType="end"/>
          </w:r>
        </w:p>
        <w:p>
          <w:pPr>
            <w:pStyle w:val="8"/>
            <w:tabs>
              <w:tab w:val="right" w:leader="dot" w:pos="8306"/>
            </w:tabs>
            <w:spacing w:line="420" w:lineRule="exact"/>
            <w:rPr>
              <w:sz w:val="24"/>
            </w:rPr>
          </w:pPr>
          <w:r>
            <w:fldChar w:fldCharType="begin"/>
          </w:r>
          <w:r>
            <w:instrText xml:space="preserve"> HYPERLINK \l "_Toc30018" </w:instrText>
          </w:r>
          <w:r>
            <w:fldChar w:fldCharType="separate"/>
          </w:r>
          <w:r>
            <w:rPr>
              <w:rFonts w:hint="eastAsia" w:ascii="宋体" w:hAnsi="宋体" w:eastAsia="宋体" w:cs="宋体"/>
              <w:sz w:val="24"/>
            </w:rPr>
            <w:t>6  应急处置与救援</w:t>
          </w:r>
          <w:r>
            <w:rPr>
              <w:sz w:val="24"/>
            </w:rPr>
            <w:tab/>
          </w:r>
          <w:r>
            <w:rPr>
              <w:sz w:val="24"/>
            </w:rPr>
            <w:fldChar w:fldCharType="begin"/>
          </w:r>
          <w:r>
            <w:rPr>
              <w:sz w:val="24"/>
            </w:rPr>
            <w:instrText xml:space="preserve"> PAGEREF _Toc30018 \h </w:instrText>
          </w:r>
          <w:r>
            <w:rPr>
              <w:sz w:val="24"/>
            </w:rPr>
            <w:fldChar w:fldCharType="separate"/>
          </w:r>
          <w:r>
            <w:rPr>
              <w:sz w:val="24"/>
            </w:rPr>
            <w:t>15</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"_Toc4511" </w:instrText>
          </w:r>
          <w:r>
            <w:fldChar w:fldCharType="separate"/>
          </w:r>
          <w:r>
            <w:rPr>
              <w:rFonts w:hint="eastAsia" w:ascii="宋体" w:hAnsi="宋体" w:eastAsia="宋体" w:cs="宋体"/>
              <w:sz w:val="24"/>
            </w:rPr>
            <w:t>6.1  信息处置</w:t>
          </w:r>
          <w:r>
            <w:rPr>
              <w:sz w:val="24"/>
            </w:rPr>
            <w:tab/>
          </w:r>
          <w:r>
            <w:rPr>
              <w:sz w:val="24"/>
            </w:rPr>
            <w:fldChar w:fldCharType="begin"/>
          </w:r>
          <w:r>
            <w:rPr>
              <w:sz w:val="24"/>
            </w:rPr>
            <w:instrText xml:space="preserve"> PAGEREF _Toc4511 \h </w:instrText>
          </w:r>
          <w:r>
            <w:rPr>
              <w:sz w:val="24"/>
            </w:rPr>
            <w:fldChar w:fldCharType="separate"/>
          </w:r>
          <w:r>
            <w:rPr>
              <w:sz w:val="24"/>
            </w:rPr>
            <w:t>15</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"_Toc3641" </w:instrText>
          </w:r>
          <w:r>
            <w:fldChar w:fldCharType="separate"/>
          </w:r>
          <w:r>
            <w:rPr>
              <w:rFonts w:hint="eastAsia" w:ascii="宋体" w:hAnsi="宋体" w:eastAsia="宋体" w:cs="宋体"/>
              <w:sz w:val="24"/>
            </w:rPr>
            <w:t>6.2  先期处置</w:t>
          </w:r>
          <w:r>
            <w:rPr>
              <w:sz w:val="24"/>
            </w:rPr>
            <w:tab/>
          </w:r>
          <w:r>
            <w:rPr>
              <w:sz w:val="24"/>
            </w:rPr>
            <w:fldChar w:fldCharType="begin"/>
          </w:r>
          <w:r>
            <w:rPr>
              <w:sz w:val="24"/>
            </w:rPr>
            <w:instrText xml:space="preserve"> PAGEREF _Toc3641 \h </w:instrText>
          </w:r>
          <w:r>
            <w:rPr>
              <w:sz w:val="24"/>
            </w:rPr>
            <w:fldChar w:fldCharType="separate"/>
          </w:r>
          <w:r>
            <w:rPr>
              <w:sz w:val="24"/>
            </w:rPr>
            <w:t>15</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"_Toc11401" </w:instrText>
          </w:r>
          <w:r>
            <w:fldChar w:fldCharType="separate"/>
          </w:r>
          <w:r>
            <w:rPr>
              <w:rFonts w:hint="eastAsia" w:ascii="宋体" w:hAnsi="宋体" w:eastAsia="宋体" w:cs="宋体"/>
              <w:sz w:val="24"/>
            </w:rPr>
            <w:t>6.3  应急响应</w:t>
          </w:r>
          <w:r>
            <w:rPr>
              <w:sz w:val="24"/>
            </w:rPr>
            <w:tab/>
          </w:r>
          <w:r>
            <w:rPr>
              <w:sz w:val="24"/>
            </w:rPr>
            <w:fldChar w:fldCharType="begin"/>
          </w:r>
          <w:r>
            <w:rPr>
              <w:sz w:val="24"/>
            </w:rPr>
            <w:instrText xml:space="preserve"> PAGEREF _Toc11401 \h </w:instrText>
          </w:r>
          <w:r>
            <w:rPr>
              <w:sz w:val="24"/>
            </w:rPr>
            <w:fldChar w:fldCharType="separate"/>
          </w:r>
          <w:r>
            <w:rPr>
              <w:sz w:val="24"/>
            </w:rPr>
            <w:t>15</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"_Toc14768" </w:instrText>
          </w:r>
          <w:r>
            <w:fldChar w:fldCharType="separate"/>
          </w:r>
          <w:r>
            <w:rPr>
              <w:rFonts w:hint="eastAsia" w:ascii="宋体" w:hAnsi="宋体" w:eastAsia="宋体" w:cs="宋体"/>
              <w:sz w:val="24"/>
            </w:rPr>
            <w:t>6.4  分级响应</w:t>
          </w:r>
          <w:r>
            <w:rPr>
              <w:sz w:val="24"/>
            </w:rPr>
            <w:tab/>
          </w:r>
          <w:r>
            <w:rPr>
              <w:sz w:val="24"/>
            </w:rPr>
            <w:fldChar w:fldCharType="begin"/>
          </w:r>
          <w:r>
            <w:rPr>
              <w:sz w:val="24"/>
            </w:rPr>
            <w:instrText xml:space="preserve"> PAGEREF _Toc14768 \h </w:instrText>
          </w:r>
          <w:r>
            <w:rPr>
              <w:sz w:val="24"/>
            </w:rPr>
            <w:fldChar w:fldCharType="separate"/>
          </w:r>
          <w:r>
            <w:rPr>
              <w:sz w:val="24"/>
            </w:rPr>
            <w:t>16</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"_Toc11436" </w:instrText>
          </w:r>
          <w:r>
            <w:fldChar w:fldCharType="separate"/>
          </w:r>
          <w:r>
            <w:rPr>
              <w:rFonts w:hint="eastAsia" w:ascii="宋体" w:hAnsi="宋体" w:eastAsia="宋体" w:cs="宋体"/>
              <w:sz w:val="24"/>
            </w:rPr>
            <w:t>6.4  抢险救援</w:t>
          </w:r>
          <w:r>
            <w:rPr>
              <w:sz w:val="24"/>
            </w:rPr>
            <w:tab/>
          </w:r>
          <w:r>
            <w:rPr>
              <w:sz w:val="24"/>
            </w:rPr>
            <w:fldChar w:fldCharType="begin"/>
          </w:r>
          <w:r>
            <w:rPr>
              <w:sz w:val="24"/>
            </w:rPr>
            <w:instrText xml:space="preserve"> PAGEREF _Toc11436 \h </w:instrText>
          </w:r>
          <w:r>
            <w:rPr>
              <w:sz w:val="24"/>
            </w:rPr>
            <w:fldChar w:fldCharType="separate"/>
          </w:r>
          <w:r>
            <w:rPr>
              <w:sz w:val="24"/>
            </w:rPr>
            <w:t>21</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"_Toc19540" </w:instrText>
          </w:r>
          <w:r>
            <w:fldChar w:fldCharType="separate"/>
          </w:r>
          <w:r>
            <w:rPr>
              <w:rFonts w:hint="eastAsia" w:ascii="宋体" w:hAnsi="宋体" w:eastAsia="宋体" w:cs="宋体"/>
              <w:sz w:val="24"/>
            </w:rPr>
            <w:t>6.5  响应调整</w:t>
          </w:r>
          <w:r>
            <w:rPr>
              <w:sz w:val="24"/>
            </w:rPr>
            <w:tab/>
          </w:r>
          <w:r>
            <w:rPr>
              <w:sz w:val="24"/>
            </w:rPr>
            <w:fldChar w:fldCharType="begin"/>
          </w:r>
          <w:r>
            <w:rPr>
              <w:sz w:val="24"/>
            </w:rPr>
            <w:instrText xml:space="preserve"> PAGEREF _Toc19540 \h </w:instrText>
          </w:r>
          <w:r>
            <w:rPr>
              <w:sz w:val="24"/>
            </w:rPr>
            <w:fldChar w:fldCharType="separate"/>
          </w:r>
          <w:r>
            <w:rPr>
              <w:sz w:val="24"/>
            </w:rPr>
            <w:t>26</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"_Toc27574" </w:instrText>
          </w:r>
          <w:r>
            <w:fldChar w:fldCharType="separate"/>
          </w:r>
          <w:r>
            <w:rPr>
              <w:rFonts w:hint="eastAsia" w:ascii="宋体" w:hAnsi="宋体" w:eastAsia="宋体" w:cs="宋体"/>
              <w:sz w:val="24"/>
            </w:rPr>
            <w:t>6.6  响应结束</w:t>
          </w:r>
          <w:r>
            <w:rPr>
              <w:sz w:val="24"/>
            </w:rPr>
            <w:tab/>
          </w:r>
          <w:r>
            <w:rPr>
              <w:sz w:val="24"/>
            </w:rPr>
            <w:fldChar w:fldCharType="begin"/>
          </w:r>
          <w:r>
            <w:rPr>
              <w:sz w:val="24"/>
            </w:rPr>
            <w:instrText xml:space="preserve"> PAGEREF _Toc27574 \h </w:instrText>
          </w:r>
          <w:r>
            <w:rPr>
              <w:sz w:val="24"/>
            </w:rPr>
            <w:fldChar w:fldCharType="separate"/>
          </w:r>
          <w:r>
            <w:rPr>
              <w:sz w:val="24"/>
            </w:rPr>
            <w:t>26</w:t>
          </w:r>
          <w:r>
            <w:rPr>
              <w:sz w:val="24"/>
            </w:rPr>
            <w:fldChar w:fldCharType="end"/>
          </w:r>
          <w:r>
            <w:rPr>
              <w:sz w:val="24"/>
            </w:rPr>
            <w:fldChar w:fldCharType="end"/>
          </w:r>
        </w:p>
        <w:p>
          <w:pPr>
            <w:pStyle w:val="8"/>
            <w:tabs>
              <w:tab w:val="right" w:leader="dot" w:pos="8306"/>
            </w:tabs>
            <w:spacing w:line="420" w:lineRule="exact"/>
            <w:rPr>
              <w:sz w:val="24"/>
            </w:rPr>
          </w:pPr>
          <w:r>
            <w:fldChar w:fldCharType="begin"/>
          </w:r>
          <w:r>
            <w:instrText xml:space="preserve"> HYPERLINK \l "_Toc6638" </w:instrText>
          </w:r>
          <w:r>
            <w:fldChar w:fldCharType="separate"/>
          </w:r>
          <w:r>
            <w:rPr>
              <w:rFonts w:hint="eastAsia" w:ascii="宋体" w:hAnsi="宋体" w:eastAsia="宋体" w:cs="宋体"/>
              <w:sz w:val="24"/>
            </w:rPr>
            <w:t>7  后期处置</w:t>
          </w:r>
          <w:r>
            <w:rPr>
              <w:sz w:val="24"/>
            </w:rPr>
            <w:tab/>
          </w:r>
          <w:r>
            <w:rPr>
              <w:sz w:val="24"/>
            </w:rPr>
            <w:fldChar w:fldCharType="begin"/>
          </w:r>
          <w:r>
            <w:rPr>
              <w:sz w:val="24"/>
            </w:rPr>
            <w:instrText xml:space="preserve"> PAGEREF _Toc6638 \h </w:instrText>
          </w:r>
          <w:r>
            <w:rPr>
              <w:sz w:val="24"/>
            </w:rPr>
            <w:fldChar w:fldCharType="separate"/>
          </w:r>
          <w:r>
            <w:rPr>
              <w:sz w:val="24"/>
            </w:rPr>
            <w:t>26</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"_Toc5083" </w:instrText>
          </w:r>
          <w:r>
            <w:fldChar w:fldCharType="separate"/>
          </w:r>
          <w:r>
            <w:rPr>
              <w:rFonts w:hint="eastAsia" w:ascii="宋体" w:hAnsi="宋体" w:eastAsia="宋体" w:cs="宋体"/>
              <w:sz w:val="24"/>
            </w:rPr>
            <w:t>7.1  调查评估</w:t>
          </w:r>
          <w:r>
            <w:rPr>
              <w:sz w:val="24"/>
            </w:rPr>
            <w:tab/>
          </w:r>
          <w:r>
            <w:rPr>
              <w:sz w:val="24"/>
            </w:rPr>
            <w:fldChar w:fldCharType="begin"/>
          </w:r>
          <w:r>
            <w:rPr>
              <w:sz w:val="24"/>
            </w:rPr>
            <w:instrText xml:space="preserve"> PAGEREF _Toc5083 \h </w:instrText>
          </w:r>
          <w:r>
            <w:rPr>
              <w:sz w:val="24"/>
            </w:rPr>
            <w:fldChar w:fldCharType="separate"/>
          </w:r>
          <w:r>
            <w:rPr>
              <w:sz w:val="24"/>
            </w:rPr>
            <w:t>26</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"_Toc23369" </w:instrText>
          </w:r>
          <w:r>
            <w:fldChar w:fldCharType="separate"/>
          </w:r>
          <w:r>
            <w:rPr>
              <w:rFonts w:hint="eastAsia" w:ascii="宋体" w:hAnsi="宋体" w:eastAsia="宋体" w:cs="宋体"/>
              <w:sz w:val="24"/>
            </w:rPr>
            <w:t>7.2  工作总结</w:t>
          </w:r>
          <w:r>
            <w:rPr>
              <w:sz w:val="24"/>
            </w:rPr>
            <w:tab/>
          </w:r>
          <w:r>
            <w:rPr>
              <w:sz w:val="24"/>
            </w:rPr>
            <w:fldChar w:fldCharType="begin"/>
          </w:r>
          <w:r>
            <w:rPr>
              <w:sz w:val="24"/>
            </w:rPr>
            <w:instrText xml:space="preserve"> PAGEREF _Toc23369 \h </w:instrText>
          </w:r>
          <w:r>
            <w:rPr>
              <w:sz w:val="24"/>
            </w:rPr>
            <w:fldChar w:fldCharType="separate"/>
          </w:r>
          <w:r>
            <w:rPr>
              <w:sz w:val="24"/>
            </w:rPr>
            <w:t>27</w:t>
          </w:r>
          <w:r>
            <w:rPr>
              <w:sz w:val="24"/>
            </w:rPr>
            <w:fldChar w:fldCharType="end"/>
          </w:r>
          <w:r>
            <w:rPr>
              <w:sz w:val="24"/>
            </w:rPr>
            <w:fldChar w:fldCharType="end"/>
          </w:r>
        </w:p>
        <w:p>
          <w:pPr>
            <w:pStyle w:val="8"/>
            <w:tabs>
              <w:tab w:val="right" w:leader="dot" w:pos="8306"/>
            </w:tabs>
            <w:spacing w:line="420" w:lineRule="exact"/>
            <w:rPr>
              <w:sz w:val="24"/>
            </w:rPr>
          </w:pPr>
          <w:r>
            <w:fldChar w:fldCharType="begin"/>
          </w:r>
          <w:r>
            <w:instrText xml:space="preserve"> HYPERLINK \l "_Toc23699" </w:instrText>
          </w:r>
          <w:r>
            <w:fldChar w:fldCharType="separate"/>
          </w:r>
          <w:r>
            <w:rPr>
              <w:rFonts w:hint="eastAsia" w:ascii="宋体" w:hAnsi="宋体" w:eastAsia="宋体" w:cs="宋体"/>
              <w:sz w:val="24"/>
            </w:rPr>
            <w:t>8  恢复重建</w:t>
          </w:r>
          <w:r>
            <w:rPr>
              <w:sz w:val="24"/>
            </w:rPr>
            <w:tab/>
          </w:r>
          <w:r>
            <w:rPr>
              <w:sz w:val="24"/>
            </w:rPr>
            <w:fldChar w:fldCharType="begin"/>
          </w:r>
          <w:r>
            <w:rPr>
              <w:sz w:val="24"/>
            </w:rPr>
            <w:instrText xml:space="preserve"> PAGEREF _Toc23699 \h </w:instrText>
          </w:r>
          <w:r>
            <w:rPr>
              <w:sz w:val="24"/>
            </w:rPr>
            <w:fldChar w:fldCharType="separate"/>
          </w:r>
          <w:r>
            <w:rPr>
              <w:sz w:val="24"/>
            </w:rPr>
            <w:t>27</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"_Toc11368" </w:instrText>
          </w:r>
          <w:r>
            <w:fldChar w:fldCharType="separate"/>
          </w:r>
          <w:r>
            <w:rPr>
              <w:rFonts w:hint="eastAsia" w:ascii="宋体" w:hAnsi="宋体" w:eastAsia="宋体" w:cs="宋体"/>
              <w:sz w:val="24"/>
            </w:rPr>
            <w:t>8.1  恢复重建规划</w:t>
          </w:r>
          <w:r>
            <w:rPr>
              <w:sz w:val="24"/>
            </w:rPr>
            <w:tab/>
          </w:r>
          <w:r>
            <w:rPr>
              <w:sz w:val="24"/>
            </w:rPr>
            <w:fldChar w:fldCharType="begin"/>
          </w:r>
          <w:r>
            <w:rPr>
              <w:sz w:val="24"/>
            </w:rPr>
            <w:instrText xml:space="preserve"> PAGEREF _Toc11368 \h </w:instrText>
          </w:r>
          <w:r>
            <w:rPr>
              <w:sz w:val="24"/>
            </w:rPr>
            <w:fldChar w:fldCharType="separate"/>
          </w:r>
          <w:r>
            <w:rPr>
              <w:sz w:val="24"/>
            </w:rPr>
            <w:t>27</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"_Toc29309" </w:instrText>
          </w:r>
          <w:r>
            <w:fldChar w:fldCharType="separate"/>
          </w:r>
          <w:r>
            <w:rPr>
              <w:rFonts w:hint="eastAsia" w:ascii="宋体" w:hAnsi="宋体" w:eastAsia="宋体" w:cs="宋体"/>
              <w:sz w:val="24"/>
            </w:rPr>
            <w:t>8.2  恢复重建实施</w:t>
          </w:r>
          <w:r>
            <w:rPr>
              <w:sz w:val="24"/>
            </w:rPr>
            <w:tab/>
          </w:r>
          <w:r>
            <w:rPr>
              <w:sz w:val="24"/>
            </w:rPr>
            <w:fldChar w:fldCharType="begin"/>
          </w:r>
          <w:r>
            <w:rPr>
              <w:sz w:val="24"/>
            </w:rPr>
            <w:instrText xml:space="preserve"> PAGEREF _Toc29309 \h </w:instrText>
          </w:r>
          <w:r>
            <w:rPr>
              <w:sz w:val="24"/>
            </w:rPr>
            <w:fldChar w:fldCharType="separate"/>
          </w:r>
          <w:r>
            <w:rPr>
              <w:sz w:val="24"/>
            </w:rPr>
            <w:t>27</w:t>
          </w:r>
          <w:r>
            <w:rPr>
              <w:sz w:val="24"/>
            </w:rPr>
            <w:fldChar w:fldCharType="end"/>
          </w:r>
          <w:r>
            <w:rPr>
              <w:sz w:val="24"/>
            </w:rPr>
            <w:fldChar w:fldCharType="end"/>
          </w:r>
        </w:p>
        <w:p>
          <w:pPr>
            <w:pStyle w:val="8"/>
            <w:tabs>
              <w:tab w:val="right" w:leader="dot" w:pos="8306"/>
            </w:tabs>
            <w:spacing w:line="420" w:lineRule="exact"/>
            <w:rPr>
              <w:sz w:val="24"/>
            </w:rPr>
          </w:pPr>
          <w:r>
            <w:fldChar w:fldCharType="begin"/>
          </w:r>
          <w:r>
            <w:instrText xml:space="preserve"> HYPERLINK \l "_Toc11636" </w:instrText>
          </w:r>
          <w:r>
            <w:fldChar w:fldCharType="separate"/>
          </w:r>
          <w:r>
            <w:rPr>
              <w:rFonts w:hint="eastAsia" w:ascii="宋体" w:hAnsi="宋体" w:eastAsia="宋体" w:cs="宋体"/>
              <w:sz w:val="24"/>
            </w:rPr>
            <w:t>9  应急保障</w:t>
          </w:r>
          <w:r>
            <w:rPr>
              <w:sz w:val="24"/>
            </w:rPr>
            <w:tab/>
          </w:r>
          <w:r>
            <w:rPr>
              <w:sz w:val="24"/>
            </w:rPr>
            <w:fldChar w:fldCharType="begin"/>
          </w:r>
          <w:r>
            <w:rPr>
              <w:sz w:val="24"/>
            </w:rPr>
            <w:instrText xml:space="preserve"> PAGEREF _Toc11636 \h </w:instrText>
          </w:r>
          <w:r>
            <w:rPr>
              <w:sz w:val="24"/>
            </w:rPr>
            <w:fldChar w:fldCharType="separate"/>
          </w:r>
          <w:r>
            <w:rPr>
              <w:sz w:val="24"/>
            </w:rPr>
            <w:t>27</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"_Toc2839" </w:instrText>
          </w:r>
          <w:r>
            <w:fldChar w:fldCharType="separate"/>
          </w:r>
          <w:r>
            <w:rPr>
              <w:rFonts w:hint="eastAsia" w:ascii="宋体" w:hAnsi="宋体" w:eastAsia="宋体" w:cs="宋体"/>
              <w:sz w:val="24"/>
            </w:rPr>
            <w:t>9.1  队伍保障</w:t>
          </w:r>
          <w:r>
            <w:rPr>
              <w:sz w:val="24"/>
            </w:rPr>
            <w:tab/>
          </w:r>
          <w:r>
            <w:rPr>
              <w:sz w:val="24"/>
            </w:rPr>
            <w:fldChar w:fldCharType="begin"/>
          </w:r>
          <w:r>
            <w:rPr>
              <w:sz w:val="24"/>
            </w:rPr>
            <w:instrText xml:space="preserve"> PAGEREF _Toc2839 \h </w:instrText>
          </w:r>
          <w:r>
            <w:rPr>
              <w:sz w:val="24"/>
            </w:rPr>
            <w:fldChar w:fldCharType="separate"/>
          </w:r>
          <w:r>
            <w:rPr>
              <w:sz w:val="24"/>
            </w:rPr>
            <w:t>27</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"_Toc25606" </w:instrText>
          </w:r>
          <w:r>
            <w:fldChar w:fldCharType="separate"/>
          </w:r>
          <w:r>
            <w:rPr>
              <w:rFonts w:hint="eastAsia" w:ascii="宋体" w:hAnsi="宋体" w:eastAsia="宋体" w:cs="宋体"/>
              <w:sz w:val="24"/>
            </w:rPr>
            <w:t>9.2  指挥平台保障</w:t>
          </w:r>
          <w:r>
            <w:rPr>
              <w:sz w:val="24"/>
            </w:rPr>
            <w:tab/>
          </w:r>
          <w:r>
            <w:rPr>
              <w:sz w:val="24"/>
            </w:rPr>
            <w:fldChar w:fldCharType="begin"/>
          </w:r>
          <w:r>
            <w:rPr>
              <w:sz w:val="24"/>
            </w:rPr>
            <w:instrText xml:space="preserve"> PAGEREF _Toc25606 \h </w:instrText>
          </w:r>
          <w:r>
            <w:rPr>
              <w:sz w:val="24"/>
            </w:rPr>
            <w:fldChar w:fldCharType="separate"/>
          </w:r>
          <w:r>
            <w:rPr>
              <w:sz w:val="24"/>
            </w:rPr>
            <w:t>28</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"_Toc27494" </w:instrText>
          </w:r>
          <w:r>
            <w:fldChar w:fldCharType="separate"/>
          </w:r>
          <w:r>
            <w:rPr>
              <w:rFonts w:hint="eastAsia" w:ascii="宋体" w:hAnsi="宋体" w:eastAsia="宋体" w:cs="宋体"/>
              <w:sz w:val="24"/>
            </w:rPr>
            <w:t>9.3  物资与资金保障</w:t>
          </w:r>
          <w:r>
            <w:rPr>
              <w:sz w:val="24"/>
            </w:rPr>
            <w:tab/>
          </w:r>
          <w:r>
            <w:rPr>
              <w:sz w:val="24"/>
            </w:rPr>
            <w:fldChar w:fldCharType="begin"/>
          </w:r>
          <w:r>
            <w:rPr>
              <w:sz w:val="24"/>
            </w:rPr>
            <w:instrText xml:space="preserve"> PAGEREF _Toc27494 \h </w:instrText>
          </w:r>
          <w:r>
            <w:rPr>
              <w:sz w:val="24"/>
            </w:rPr>
            <w:fldChar w:fldCharType="separate"/>
          </w:r>
          <w:r>
            <w:rPr>
              <w:sz w:val="24"/>
            </w:rPr>
            <w:t>29</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"_Toc10159" </w:instrText>
          </w:r>
          <w:r>
            <w:fldChar w:fldCharType="separate"/>
          </w:r>
          <w:r>
            <w:rPr>
              <w:rFonts w:hint="eastAsia" w:ascii="宋体" w:hAnsi="宋体" w:eastAsia="宋体" w:cs="宋体"/>
              <w:sz w:val="24"/>
            </w:rPr>
            <w:t>9.4  应急避难场所保障</w:t>
          </w:r>
          <w:r>
            <w:rPr>
              <w:sz w:val="24"/>
            </w:rPr>
            <w:tab/>
          </w:r>
          <w:r>
            <w:rPr>
              <w:sz w:val="24"/>
            </w:rPr>
            <w:fldChar w:fldCharType="begin"/>
          </w:r>
          <w:r>
            <w:rPr>
              <w:sz w:val="24"/>
            </w:rPr>
            <w:instrText xml:space="preserve"> PAGEREF _Toc10159 \h </w:instrText>
          </w:r>
          <w:r>
            <w:rPr>
              <w:sz w:val="24"/>
            </w:rPr>
            <w:fldChar w:fldCharType="separate"/>
          </w:r>
          <w:r>
            <w:rPr>
              <w:sz w:val="24"/>
            </w:rPr>
            <w:t>29</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"_Toc8397" </w:instrText>
          </w:r>
          <w:r>
            <w:fldChar w:fldCharType="separate"/>
          </w:r>
          <w:r>
            <w:rPr>
              <w:rFonts w:hint="eastAsia" w:ascii="宋体" w:hAnsi="宋体" w:eastAsia="宋体" w:cs="宋体"/>
              <w:sz w:val="24"/>
            </w:rPr>
            <w:t>9.5  基础设施保障</w:t>
          </w:r>
          <w:r>
            <w:rPr>
              <w:sz w:val="24"/>
            </w:rPr>
            <w:tab/>
          </w:r>
          <w:r>
            <w:rPr>
              <w:sz w:val="24"/>
            </w:rPr>
            <w:fldChar w:fldCharType="begin"/>
          </w:r>
          <w:r>
            <w:rPr>
              <w:sz w:val="24"/>
            </w:rPr>
            <w:instrText xml:space="preserve"> PAGEREF _Toc8397 \h </w:instrText>
          </w:r>
          <w:r>
            <w:rPr>
              <w:sz w:val="24"/>
            </w:rPr>
            <w:fldChar w:fldCharType="separate"/>
          </w:r>
          <w:r>
            <w:rPr>
              <w:sz w:val="24"/>
            </w:rPr>
            <w:t>29</w:t>
          </w:r>
          <w:r>
            <w:rPr>
              <w:sz w:val="24"/>
            </w:rPr>
            <w:fldChar w:fldCharType="end"/>
          </w:r>
          <w:r>
            <w:rPr>
              <w:sz w:val="24"/>
            </w:rPr>
            <w:fldChar w:fldCharType="end"/>
          </w:r>
        </w:p>
        <w:p>
          <w:pPr>
            <w:pStyle w:val="8"/>
            <w:tabs>
              <w:tab w:val="right" w:leader="dot" w:pos="8306"/>
            </w:tabs>
            <w:spacing w:line="420" w:lineRule="exact"/>
            <w:rPr>
              <w:sz w:val="24"/>
            </w:rPr>
          </w:pPr>
          <w:r>
            <w:fldChar w:fldCharType="begin"/>
          </w:r>
          <w:r>
            <w:instrText xml:space="preserve"> HYPERLINK \l "_Toc31734" </w:instrText>
          </w:r>
          <w:r>
            <w:fldChar w:fldCharType="separate"/>
          </w:r>
          <w:r>
            <w:rPr>
              <w:rFonts w:hint="eastAsia" w:ascii="宋体" w:hAnsi="宋体" w:eastAsia="宋体" w:cs="宋体"/>
              <w:sz w:val="24"/>
            </w:rPr>
            <w:t>10  附则</w:t>
          </w:r>
          <w:r>
            <w:rPr>
              <w:sz w:val="24"/>
            </w:rPr>
            <w:tab/>
          </w:r>
          <w:r>
            <w:rPr>
              <w:sz w:val="24"/>
            </w:rPr>
            <w:fldChar w:fldCharType="begin"/>
          </w:r>
          <w:r>
            <w:rPr>
              <w:sz w:val="24"/>
            </w:rPr>
            <w:instrText xml:space="preserve"> PAGEREF _Toc31734 \h </w:instrText>
          </w:r>
          <w:r>
            <w:rPr>
              <w:sz w:val="24"/>
            </w:rPr>
            <w:fldChar w:fldCharType="separate"/>
          </w:r>
          <w:r>
            <w:rPr>
              <w:sz w:val="24"/>
            </w:rPr>
            <w:t>30</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"_Toc26014" </w:instrText>
          </w:r>
          <w:r>
            <w:fldChar w:fldCharType="separate"/>
          </w:r>
          <w:r>
            <w:rPr>
              <w:rFonts w:hint="eastAsia" w:ascii="宋体" w:hAnsi="宋体" w:eastAsia="宋体" w:cs="宋体"/>
              <w:sz w:val="24"/>
            </w:rPr>
            <w:t>10.1  奖励与责任</w:t>
          </w:r>
          <w:r>
            <w:rPr>
              <w:sz w:val="24"/>
            </w:rPr>
            <w:tab/>
          </w:r>
          <w:r>
            <w:rPr>
              <w:sz w:val="24"/>
            </w:rPr>
            <w:fldChar w:fldCharType="begin"/>
          </w:r>
          <w:r>
            <w:rPr>
              <w:sz w:val="24"/>
            </w:rPr>
            <w:instrText xml:space="preserve"> PAGEREF _Toc26014 \h </w:instrText>
          </w:r>
          <w:r>
            <w:rPr>
              <w:sz w:val="24"/>
            </w:rPr>
            <w:fldChar w:fldCharType="separate"/>
          </w:r>
          <w:r>
            <w:rPr>
              <w:sz w:val="24"/>
            </w:rPr>
            <w:t>30</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"_Toc2859" </w:instrText>
          </w:r>
          <w:r>
            <w:fldChar w:fldCharType="separate"/>
          </w:r>
          <w:r>
            <w:rPr>
              <w:rFonts w:hint="eastAsia" w:ascii="宋体" w:hAnsi="宋体" w:eastAsia="宋体" w:cs="宋体"/>
              <w:sz w:val="24"/>
            </w:rPr>
            <w:t>10.2  宣传、培训与演练</w:t>
          </w:r>
          <w:r>
            <w:rPr>
              <w:sz w:val="24"/>
            </w:rPr>
            <w:tab/>
          </w:r>
          <w:r>
            <w:rPr>
              <w:sz w:val="24"/>
            </w:rPr>
            <w:fldChar w:fldCharType="begin"/>
          </w:r>
          <w:r>
            <w:rPr>
              <w:sz w:val="24"/>
            </w:rPr>
            <w:instrText xml:space="preserve"> PAGEREF _Toc2859 \h </w:instrText>
          </w:r>
          <w:r>
            <w:rPr>
              <w:sz w:val="24"/>
            </w:rPr>
            <w:fldChar w:fldCharType="separate"/>
          </w:r>
          <w:r>
            <w:rPr>
              <w:sz w:val="24"/>
            </w:rPr>
            <w:t>30</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"_Toc14121" </w:instrText>
          </w:r>
          <w:r>
            <w:fldChar w:fldCharType="separate"/>
          </w:r>
          <w:r>
            <w:rPr>
              <w:rFonts w:hint="eastAsia" w:ascii="宋体" w:hAnsi="宋体" w:eastAsia="宋体" w:cs="宋体"/>
              <w:sz w:val="24"/>
            </w:rPr>
            <w:t>10.3  预案管理与更新</w:t>
          </w:r>
          <w:r>
            <w:rPr>
              <w:sz w:val="24"/>
            </w:rPr>
            <w:tab/>
          </w:r>
          <w:r>
            <w:rPr>
              <w:sz w:val="24"/>
            </w:rPr>
            <w:fldChar w:fldCharType="begin"/>
          </w:r>
          <w:r>
            <w:rPr>
              <w:sz w:val="24"/>
            </w:rPr>
            <w:instrText xml:space="preserve"> PAGEREF _Toc14121 \h </w:instrText>
          </w:r>
          <w:r>
            <w:rPr>
              <w:sz w:val="24"/>
            </w:rPr>
            <w:fldChar w:fldCharType="separate"/>
          </w:r>
          <w:r>
            <w:rPr>
              <w:sz w:val="24"/>
            </w:rPr>
            <w:t>31</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"_Toc20653" </w:instrText>
          </w:r>
          <w:r>
            <w:fldChar w:fldCharType="separate"/>
          </w:r>
          <w:r>
            <w:rPr>
              <w:rFonts w:hint="eastAsia" w:ascii="宋体" w:hAnsi="宋体" w:eastAsia="宋体" w:cs="宋体"/>
              <w:sz w:val="24"/>
            </w:rPr>
            <w:t>10.4  预案解释</w:t>
          </w:r>
          <w:r>
            <w:rPr>
              <w:sz w:val="24"/>
            </w:rPr>
            <w:tab/>
          </w:r>
          <w:r>
            <w:rPr>
              <w:sz w:val="24"/>
            </w:rPr>
            <w:fldChar w:fldCharType="begin"/>
          </w:r>
          <w:r>
            <w:rPr>
              <w:sz w:val="24"/>
            </w:rPr>
            <w:instrText xml:space="preserve"> PAGEREF _Toc20653 \h </w:instrText>
          </w:r>
          <w:r>
            <w:rPr>
              <w:sz w:val="24"/>
            </w:rPr>
            <w:fldChar w:fldCharType="separate"/>
          </w:r>
          <w:r>
            <w:rPr>
              <w:sz w:val="24"/>
            </w:rPr>
            <w:t>31</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"_Toc4441" </w:instrText>
          </w:r>
          <w:r>
            <w:fldChar w:fldCharType="separate"/>
          </w:r>
          <w:r>
            <w:rPr>
              <w:rFonts w:hint="eastAsia" w:ascii="宋体" w:hAnsi="宋体" w:eastAsia="宋体" w:cs="宋体"/>
              <w:sz w:val="24"/>
            </w:rPr>
            <w:t>10.5  预案发布</w:t>
          </w:r>
          <w:r>
            <w:rPr>
              <w:sz w:val="24"/>
            </w:rPr>
            <w:tab/>
          </w:r>
          <w:r>
            <w:rPr>
              <w:sz w:val="24"/>
            </w:rPr>
            <w:fldChar w:fldCharType="begin"/>
          </w:r>
          <w:r>
            <w:rPr>
              <w:sz w:val="24"/>
            </w:rPr>
            <w:instrText xml:space="preserve"> PAGEREF _Toc4441 \h </w:instrText>
          </w:r>
          <w:r>
            <w:rPr>
              <w:sz w:val="24"/>
            </w:rPr>
            <w:fldChar w:fldCharType="separate"/>
          </w:r>
          <w:r>
            <w:rPr>
              <w:sz w:val="24"/>
            </w:rPr>
            <w:t>31</w:t>
          </w:r>
          <w:r>
            <w:rPr>
              <w:sz w:val="24"/>
            </w:rPr>
            <w:fldChar w:fldCharType="end"/>
          </w:r>
          <w:r>
            <w:rPr>
              <w:sz w:val="24"/>
            </w:rPr>
            <w:fldChar w:fldCharType="end"/>
          </w:r>
        </w:p>
        <w:p>
          <w:pPr>
            <w:pStyle w:val="8"/>
            <w:tabs>
              <w:tab w:val="right" w:leader="dot" w:pos="8306"/>
            </w:tabs>
            <w:spacing w:line="420" w:lineRule="exact"/>
            <w:rPr>
              <w:sz w:val="24"/>
            </w:rPr>
          </w:pPr>
          <w:r>
            <w:fldChar w:fldCharType="begin"/>
          </w:r>
          <w:r>
            <w:instrText xml:space="preserve"> HYPERLINK \l "_Toc13983" </w:instrText>
          </w:r>
          <w:r>
            <w:fldChar w:fldCharType="separate"/>
          </w:r>
          <w:r>
            <w:rPr>
              <w:rFonts w:hint="eastAsia" w:ascii="宋体" w:hAnsi="宋体" w:eastAsia="宋体" w:cs="宋体"/>
              <w:sz w:val="24"/>
            </w:rPr>
            <w:t>11  附件</w:t>
          </w:r>
          <w:r>
            <w:rPr>
              <w:sz w:val="24"/>
            </w:rPr>
            <w:tab/>
          </w:r>
          <w:r>
            <w:rPr>
              <w:sz w:val="24"/>
            </w:rPr>
            <w:fldChar w:fldCharType="begin"/>
          </w:r>
          <w:r>
            <w:rPr>
              <w:sz w:val="24"/>
            </w:rPr>
            <w:instrText xml:space="preserve"> PAGEREF _Toc13983 \h </w:instrText>
          </w:r>
          <w:r>
            <w:rPr>
              <w:sz w:val="24"/>
            </w:rPr>
            <w:fldChar w:fldCharType="separate"/>
          </w:r>
          <w:r>
            <w:rPr>
              <w:sz w:val="24"/>
            </w:rPr>
            <w:t>31</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"_Toc9244" </w:instrText>
          </w:r>
          <w:r>
            <w:fldChar w:fldCharType="separate"/>
          </w:r>
          <w:r>
            <w:rPr>
              <w:rFonts w:hint="eastAsia" w:ascii="宋体" w:hAnsi="宋体" w:eastAsia="宋体" w:cs="宋体"/>
              <w:sz w:val="24"/>
            </w:rPr>
            <w:t>11.1沁源县地震灾害应急响应示意图</w:t>
          </w:r>
          <w:r>
            <w:rPr>
              <w:sz w:val="24"/>
            </w:rPr>
            <w:tab/>
          </w:r>
          <w:r>
            <w:rPr>
              <w:sz w:val="24"/>
            </w:rPr>
            <w:fldChar w:fldCharType="begin"/>
          </w:r>
          <w:r>
            <w:rPr>
              <w:sz w:val="24"/>
            </w:rPr>
            <w:instrText xml:space="preserve"> PAGEREF _Toc9244 \h </w:instrText>
          </w:r>
          <w:r>
            <w:rPr>
              <w:sz w:val="24"/>
            </w:rPr>
            <w:fldChar w:fldCharType="separate"/>
          </w:r>
          <w:r>
            <w:rPr>
              <w:sz w:val="24"/>
            </w:rPr>
            <w:t>32</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"_Toc18984" </w:instrText>
          </w:r>
          <w:r>
            <w:fldChar w:fldCharType="separate"/>
          </w:r>
          <w:r>
            <w:rPr>
              <w:rFonts w:hint="eastAsia" w:ascii="宋体" w:hAnsi="宋体" w:eastAsia="宋体" w:cs="宋体"/>
              <w:sz w:val="24"/>
            </w:rPr>
            <w:t>11.2沁源县抗震救灾指挥部成员单位联系方式</w:t>
          </w:r>
          <w:r>
            <w:rPr>
              <w:sz w:val="24"/>
            </w:rPr>
            <w:tab/>
          </w:r>
          <w:r>
            <w:rPr>
              <w:sz w:val="24"/>
            </w:rPr>
            <w:fldChar w:fldCharType="begin"/>
          </w:r>
          <w:r>
            <w:rPr>
              <w:sz w:val="24"/>
            </w:rPr>
            <w:instrText xml:space="preserve"> PAGEREF _Toc18984 \h </w:instrText>
          </w:r>
          <w:r>
            <w:rPr>
              <w:sz w:val="24"/>
            </w:rPr>
            <w:fldChar w:fldCharType="separate"/>
          </w:r>
          <w:r>
            <w:rPr>
              <w:sz w:val="24"/>
            </w:rPr>
            <w:t>33</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"_Toc14633" </w:instrText>
          </w:r>
          <w:r>
            <w:fldChar w:fldCharType="separate"/>
          </w:r>
          <w:r>
            <w:rPr>
              <w:rFonts w:hint="eastAsia" w:ascii="宋体" w:hAnsi="宋体" w:eastAsia="宋体" w:cs="宋体"/>
              <w:sz w:val="24"/>
            </w:rPr>
            <w:t>11.3沁源县抗震救灾指挥机构及职责</w:t>
          </w:r>
          <w:r>
            <w:rPr>
              <w:sz w:val="24"/>
            </w:rPr>
            <w:tab/>
          </w:r>
          <w:r>
            <w:rPr>
              <w:sz w:val="24"/>
            </w:rPr>
            <w:fldChar w:fldCharType="begin"/>
          </w:r>
          <w:r>
            <w:rPr>
              <w:sz w:val="24"/>
            </w:rPr>
            <w:instrText xml:space="preserve"> PAGEREF _Toc14633 \h </w:instrText>
          </w:r>
          <w:r>
            <w:rPr>
              <w:sz w:val="24"/>
            </w:rPr>
            <w:fldChar w:fldCharType="separate"/>
          </w:r>
          <w:r>
            <w:rPr>
              <w:sz w:val="24"/>
            </w:rPr>
            <w:t>34</w:t>
          </w:r>
          <w:r>
            <w:rPr>
              <w:sz w:val="24"/>
            </w:rPr>
            <w:fldChar w:fldCharType="end"/>
          </w:r>
          <w:r>
            <w:rPr>
              <w:sz w:val="24"/>
            </w:rPr>
            <w:fldChar w:fldCharType="end"/>
          </w:r>
        </w:p>
        <w:p>
          <w:pPr>
            <w:pStyle w:val="9"/>
            <w:tabs>
              <w:tab w:val="right" w:leader="dot" w:pos="8306"/>
            </w:tabs>
            <w:spacing w:line="420" w:lineRule="exact"/>
            <w:rPr>
              <w:sz w:val="24"/>
            </w:rPr>
          </w:pPr>
          <w:r>
            <w:fldChar w:fldCharType="begin"/>
          </w:r>
          <w:r>
            <w:instrText xml:space="preserve"> HYPERLINK \l "_Toc677" </w:instrText>
          </w:r>
          <w:r>
            <w:fldChar w:fldCharType="separate"/>
          </w:r>
          <w:r>
            <w:rPr>
              <w:rFonts w:hint="eastAsia" w:ascii="宋体" w:hAnsi="宋体" w:eastAsia="宋体" w:cs="宋体"/>
              <w:sz w:val="24"/>
            </w:rPr>
            <w:t>11.4地震灾害分级表</w:t>
          </w:r>
          <w:r>
            <w:rPr>
              <w:sz w:val="24"/>
            </w:rPr>
            <w:tab/>
          </w:r>
          <w:r>
            <w:rPr>
              <w:sz w:val="24"/>
            </w:rPr>
            <w:fldChar w:fldCharType="begin"/>
          </w:r>
          <w:r>
            <w:rPr>
              <w:sz w:val="24"/>
            </w:rPr>
            <w:instrText xml:space="preserve"> PAGEREF _Toc677 \h </w:instrText>
          </w:r>
          <w:r>
            <w:rPr>
              <w:sz w:val="24"/>
            </w:rPr>
            <w:fldChar w:fldCharType="separate"/>
          </w:r>
          <w:r>
            <w:rPr>
              <w:sz w:val="24"/>
            </w:rPr>
            <w:t>39</w:t>
          </w:r>
          <w:r>
            <w:rPr>
              <w:sz w:val="24"/>
            </w:rPr>
            <w:fldChar w:fldCharType="end"/>
          </w:r>
          <w:r>
            <w:rPr>
              <w:sz w:val="24"/>
            </w:rPr>
            <w:fldChar w:fldCharType="end"/>
          </w:r>
        </w:p>
        <w:p>
          <w:pPr>
            <w:pStyle w:val="9"/>
            <w:tabs>
              <w:tab w:val="right" w:leader="dot" w:pos="8306"/>
            </w:tabs>
            <w:spacing w:line="420" w:lineRule="exact"/>
            <w:rPr>
              <w:rFonts w:ascii="方正小标宋简体" w:hAnsi="方正小标宋简体" w:eastAsia="方正小标宋简体" w:cs="方正小标宋简体"/>
              <w:sz w:val="48"/>
              <w:szCs w:val="48"/>
            </w:rPr>
            <w:sectPr>
              <w:pgSz w:w="11906" w:h="16838"/>
              <w:pgMar w:top="1757" w:right="1474" w:bottom="1701" w:left="1474" w:header="851" w:footer="992" w:gutter="0"/>
              <w:cols w:space="425" w:num="1"/>
              <w:docGrid w:type="lines" w:linePitch="312" w:charSpace="0"/>
            </w:sectPr>
          </w:pPr>
          <w:r>
            <w:fldChar w:fldCharType="begin"/>
          </w:r>
          <w:r>
            <w:instrText xml:space="preserve"> HYPERLINK \l "_Toc29926" </w:instrText>
          </w:r>
          <w:r>
            <w:fldChar w:fldCharType="separate"/>
          </w:r>
          <w:r>
            <w:rPr>
              <w:rFonts w:hint="eastAsia" w:ascii="宋体" w:hAnsi="宋体" w:eastAsia="宋体" w:cs="宋体"/>
              <w:sz w:val="24"/>
            </w:rPr>
            <w:t>11.5县级地震灾害应急响应对应表</w:t>
          </w:r>
          <w:r>
            <w:rPr>
              <w:sz w:val="24"/>
            </w:rPr>
            <w:tab/>
          </w:r>
          <w:r>
            <w:rPr>
              <w:sz w:val="24"/>
            </w:rPr>
            <w:fldChar w:fldCharType="begin"/>
          </w:r>
          <w:r>
            <w:rPr>
              <w:sz w:val="24"/>
            </w:rPr>
            <w:instrText xml:space="preserve"> PAGEREF _Toc29926 \h </w:instrText>
          </w:r>
          <w:r>
            <w:rPr>
              <w:sz w:val="24"/>
            </w:rPr>
            <w:fldChar w:fldCharType="separate"/>
          </w:r>
          <w:r>
            <w:rPr>
              <w:sz w:val="24"/>
            </w:rPr>
            <w:t>40</w:t>
          </w:r>
          <w:r>
            <w:rPr>
              <w:sz w:val="24"/>
            </w:rPr>
            <w:fldChar w:fldCharType="end"/>
          </w:r>
          <w:r>
            <w:rPr>
              <w:sz w:val="24"/>
            </w:rPr>
            <w:fldChar w:fldCharType="end"/>
          </w:r>
          <w:r>
            <w:rPr>
              <w:rFonts w:ascii="方正小标宋简体" w:hAnsi="方正小标宋简体" w:eastAsia="方正小标宋简体" w:cs="方正小标宋简体"/>
              <w:b/>
              <w:szCs w:val="32"/>
            </w:rPr>
            <w:fldChar w:fldCharType="end"/>
          </w:r>
        </w:p>
      </w:sdtContent>
    </w:sdt>
    <w:p>
      <w:pPr>
        <w:pageBreakBefore w:val="0"/>
        <w:widowControl w:val="0"/>
        <w:kinsoku/>
        <w:wordWrap/>
        <w:overflowPunct/>
        <w:topLinePunct w:val="0"/>
        <w:autoSpaceDE/>
        <w:autoSpaceDN/>
        <w:bidi w:val="0"/>
        <w:spacing w:line="600" w:lineRule="exact"/>
        <w:ind w:firstLine="960" w:firstLineChars="200"/>
        <w:jc w:val="center"/>
        <w:textAlignment w:val="auto"/>
        <w:outlineLvl w:val="0"/>
        <w:rPr>
          <w:rFonts w:ascii="方正小标宋简体" w:hAnsi="方正小标宋简体" w:eastAsia="方正小标宋简体" w:cs="方正小标宋简体"/>
          <w:sz w:val="48"/>
          <w:szCs w:val="48"/>
        </w:rPr>
      </w:pPr>
      <w:bookmarkStart w:id="0" w:name="_Toc107214474"/>
      <w:bookmarkStart w:id="1" w:name="_Toc5628"/>
      <w:bookmarkStart w:id="2" w:name="_Toc25630"/>
      <w:r>
        <w:rPr>
          <w:rFonts w:hint="eastAsia" w:ascii="方正小标宋简体" w:hAnsi="方正小标宋简体" w:eastAsia="方正小标宋简体" w:cs="方正小标宋简体"/>
          <w:sz w:val="48"/>
          <w:szCs w:val="48"/>
        </w:rPr>
        <w:t>沁源县地震应急预案</w:t>
      </w:r>
      <w:bookmarkEnd w:id="0"/>
      <w:bookmarkEnd w:id="1"/>
      <w:bookmarkEnd w:id="2"/>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pStyle w:val="3"/>
        <w:pageBreakBefore w:val="0"/>
        <w:widowControl w:val="0"/>
        <w:kinsoku/>
        <w:wordWrap/>
        <w:overflowPunct/>
        <w:topLinePunct w:val="0"/>
        <w:autoSpaceDE/>
        <w:autoSpaceDN/>
        <w:bidi w:val="0"/>
        <w:spacing w:before="120" w:after="120" w:line="600" w:lineRule="exact"/>
        <w:ind w:firstLine="643" w:firstLineChars="200"/>
        <w:textAlignment w:val="auto"/>
        <w:rPr>
          <w:rFonts w:ascii="宋体" w:hAnsi="宋体" w:eastAsia="宋体" w:cs="宋体"/>
          <w:sz w:val="32"/>
          <w:szCs w:val="32"/>
        </w:rPr>
      </w:pPr>
      <w:bookmarkStart w:id="3" w:name="_Toc28126"/>
      <w:r>
        <w:rPr>
          <w:rFonts w:hint="eastAsia" w:ascii="宋体" w:hAnsi="宋体" w:eastAsia="宋体" w:cs="宋体"/>
          <w:sz w:val="32"/>
          <w:szCs w:val="32"/>
        </w:rPr>
        <w:t>1　总则</w:t>
      </w:r>
      <w:bookmarkEnd w:id="3"/>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4" w:name="_Toc17539"/>
      <w:r>
        <w:rPr>
          <w:rFonts w:hint="eastAsia" w:ascii="宋体" w:hAnsi="宋体" w:eastAsia="宋体" w:cs="宋体"/>
        </w:rPr>
        <w:t>1.1编制目的</w:t>
      </w:r>
      <w:bookmarkEnd w:id="4"/>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依法建立健全高效有序、科学规范的地震应急体制和机制，提高全县地震应急处置能力，最大程度减少人员伤亡和经济损失，维护社会正常秩序，结合</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县实际，制定本预案。</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5" w:name="_Toc21924"/>
      <w:r>
        <w:rPr>
          <w:rFonts w:hint="eastAsia" w:ascii="宋体" w:hAnsi="宋体" w:eastAsia="宋体" w:cs="宋体"/>
        </w:rPr>
        <w:t>1.2编制依据</w:t>
      </w:r>
      <w:bookmarkEnd w:id="5"/>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突发事件应对法》、《中华人民共和国防震减灾法》、《自然灾害救助条例》、《中国地震烈度表》、《山西省突发事件应对条例》、《山西省防震减灾条例》、《山西省地震应急救援规定》、《山西省地震应急预案》、《长治市突发公共事件总体应急预案》、《长治市地震应急预案》，结合我县地震应急工作实际，制定本预案。</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6" w:name="_Toc4934"/>
      <w:r>
        <w:rPr>
          <w:rFonts w:hint="eastAsia" w:ascii="宋体" w:hAnsi="宋体" w:eastAsia="宋体" w:cs="宋体"/>
        </w:rPr>
        <w:t>1.3工作原则</w:t>
      </w:r>
      <w:bookmarkEnd w:id="6"/>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1.3.1</w:t>
      </w:r>
      <w:r>
        <w:rPr>
          <w:rFonts w:hint="eastAsia" w:ascii="仿宋_GB2312" w:hAnsi="仿宋_GB2312" w:eastAsia="仿宋_GB2312" w:cs="仿宋_GB2312"/>
          <w:b/>
          <w:bCs/>
          <w:sz w:val="32"/>
          <w:szCs w:val="32"/>
        </w:rPr>
        <w:t>以人为本，减轻损失。</w:t>
      </w:r>
      <w:r>
        <w:rPr>
          <w:rFonts w:hint="eastAsia" w:ascii="仿宋_GB2312" w:hAnsi="仿宋_GB2312" w:eastAsia="仿宋_GB2312" w:cs="仿宋_GB2312"/>
          <w:sz w:val="32"/>
          <w:szCs w:val="32"/>
        </w:rPr>
        <w:t>把保障人民群众生命财产安全作为首要任务，最大限度地减轻地震灾害损失。</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1.3.2</w:t>
      </w:r>
      <w:r>
        <w:rPr>
          <w:rFonts w:hint="eastAsia" w:ascii="仿宋_GB2312" w:hAnsi="仿宋_GB2312" w:eastAsia="仿宋_GB2312" w:cs="仿宋_GB2312"/>
          <w:b/>
          <w:bCs/>
          <w:sz w:val="32"/>
          <w:szCs w:val="32"/>
        </w:rPr>
        <w:t>预防为主，防救结合。</w:t>
      </w:r>
      <w:r>
        <w:rPr>
          <w:rFonts w:hint="eastAsia" w:ascii="仿宋_GB2312" w:hAnsi="仿宋_GB2312" w:eastAsia="仿宋_GB2312" w:cs="仿宋_GB2312"/>
          <w:sz w:val="32"/>
          <w:szCs w:val="32"/>
        </w:rPr>
        <w:t>不断加强防震减灾知识宣传和培训教育工作，强化社会公众防震减灾意识，落实各项预防措施，做好应对突发地震灾害事件的思想准备、组织准备、物资准备等各项准备工作。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1.3.3</w:t>
      </w:r>
      <w:r>
        <w:rPr>
          <w:rFonts w:hint="eastAsia" w:ascii="仿宋_GB2312" w:hAnsi="仿宋_GB2312" w:eastAsia="仿宋_GB2312" w:cs="仿宋_GB2312"/>
          <w:b/>
          <w:bCs/>
          <w:sz w:val="32"/>
          <w:szCs w:val="32"/>
        </w:rPr>
        <w:t>统一领导，分级负责。</w:t>
      </w:r>
      <w:r>
        <w:rPr>
          <w:rFonts w:hint="eastAsia" w:ascii="仿宋_GB2312" w:hAnsi="仿宋_GB2312" w:eastAsia="仿宋_GB2312" w:cs="仿宋_GB2312"/>
          <w:sz w:val="32"/>
          <w:szCs w:val="32"/>
        </w:rPr>
        <w:t>对突发地震灾害事件实行统一领导、分级处置的原则。各级人民政府主要领导是本辖区突发地震灾害事件应急处置的第一责任人，各部门按照职责分工做好突发地震灾害事件应急处置的有关工作。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1.3.4</w:t>
      </w:r>
      <w:r>
        <w:rPr>
          <w:rFonts w:hint="eastAsia" w:ascii="仿宋_GB2312" w:hAnsi="仿宋_GB2312" w:eastAsia="仿宋_GB2312" w:cs="仿宋_GB2312"/>
          <w:b/>
          <w:bCs/>
          <w:sz w:val="32"/>
          <w:szCs w:val="32"/>
        </w:rPr>
        <w:t>资源共享，军地联动。</w:t>
      </w:r>
      <w:r>
        <w:rPr>
          <w:rFonts w:hint="eastAsia" w:ascii="仿宋_GB2312" w:hAnsi="仿宋_GB2312" w:eastAsia="仿宋_GB2312" w:cs="仿宋_GB2312"/>
          <w:sz w:val="32"/>
          <w:szCs w:val="32"/>
        </w:rPr>
        <w:t>各有关部门和单位要按照《预案》中规定的职责和权限，密切配合，各司其职；要充分依靠和发挥武警、民兵预备役部队在处置地震突发事件中的骨干作用和突击队作用，充分发挥行业救援队伍在处置地震突发事件中的重要作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1.3.5</w:t>
      </w:r>
      <w:r>
        <w:rPr>
          <w:rFonts w:hint="eastAsia" w:ascii="仿宋_GB2312" w:hAnsi="仿宋_GB2312" w:eastAsia="仿宋_GB2312" w:cs="仿宋_GB2312"/>
          <w:b/>
          <w:bCs/>
          <w:sz w:val="32"/>
          <w:szCs w:val="32"/>
        </w:rPr>
        <w:t>依法规范，加强管理。</w:t>
      </w:r>
      <w:r>
        <w:rPr>
          <w:rFonts w:hint="eastAsia" w:ascii="仿宋_GB2312" w:hAnsi="仿宋_GB2312" w:eastAsia="仿宋_GB2312" w:cs="仿宋_GB2312"/>
          <w:sz w:val="32"/>
          <w:szCs w:val="32"/>
        </w:rPr>
        <w:t>依据防震减灾有关法律法规，加强地震应急管理，使地震应急管理工作规范化、制度化、法制化。</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7" w:name="_Toc14016"/>
      <w:r>
        <w:rPr>
          <w:rFonts w:hint="eastAsia" w:ascii="宋体" w:hAnsi="宋体" w:eastAsia="宋体" w:cs="宋体"/>
        </w:rPr>
        <w:t>1.4适用范围</w:t>
      </w:r>
      <w:bookmarkEnd w:id="7"/>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本预案适用于本县行政区域内发生的地震灾害事件以及毗邻县（区）发生的对我县产生严重社会影响的地震灾害事件的应对工作。</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8" w:name="_Toc26849"/>
      <w:r>
        <w:rPr>
          <w:rFonts w:hint="eastAsia" w:ascii="宋体" w:hAnsi="宋体" w:eastAsia="宋体" w:cs="宋体"/>
        </w:rPr>
        <w:t>1.5地震灾害分级</w:t>
      </w:r>
      <w:bookmarkEnd w:id="8"/>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根据地震强度、灾害损失程度、影响范围等因素，地震灾害事件分为一般、较大、重大、特别重大四级（详见附件3）。</w:t>
      </w:r>
    </w:p>
    <w:p>
      <w:pPr>
        <w:pStyle w:val="3"/>
        <w:pageBreakBefore w:val="0"/>
        <w:widowControl w:val="0"/>
        <w:kinsoku/>
        <w:wordWrap/>
        <w:overflowPunct/>
        <w:topLinePunct w:val="0"/>
        <w:autoSpaceDE/>
        <w:autoSpaceDN/>
        <w:bidi w:val="0"/>
        <w:spacing w:before="120" w:after="120" w:line="600" w:lineRule="exact"/>
        <w:ind w:firstLine="643" w:firstLineChars="200"/>
        <w:textAlignment w:val="auto"/>
        <w:rPr>
          <w:rFonts w:ascii="宋体" w:hAnsi="宋体" w:eastAsia="宋体" w:cs="宋体"/>
          <w:sz w:val="32"/>
          <w:szCs w:val="32"/>
        </w:rPr>
      </w:pPr>
      <w:bookmarkStart w:id="9" w:name="_Toc10178"/>
      <w:r>
        <w:rPr>
          <w:rFonts w:hint="eastAsia" w:ascii="宋体" w:hAnsi="宋体" w:eastAsia="宋体" w:cs="宋体"/>
          <w:sz w:val="32"/>
          <w:szCs w:val="32"/>
        </w:rPr>
        <w:t>2  抗震救灾指挥体系</w:t>
      </w:r>
      <w:bookmarkEnd w:id="9"/>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全县抗震救灾指挥体系由县、乡（镇）两级抗震救灾指挥部及其办公室组成。县抗震救灾指挥部统一领导、指挥和协调全县地震应急、抗震救灾和恢复重建工作。</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10" w:name="_Toc10877"/>
      <w:r>
        <w:rPr>
          <w:rFonts w:hint="eastAsia" w:ascii="宋体" w:hAnsi="宋体" w:eastAsia="宋体" w:cs="宋体"/>
        </w:rPr>
        <w:t>2.1县抗震救灾指挥部</w:t>
      </w:r>
      <w:bookmarkEnd w:id="10"/>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委、县政府为增强地震灾害突发事件的应急处置，设立县抗震救灾指挥部（以下称“县指挥部”），县指挥部是抗震救灾应急处置的指挥机构，在市抗震救灾应急指挥部和县政府领导下，统一组织、指挥、协调、指导和督促全县抗震救灾应急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长：县政府分管应急</w:t>
      </w:r>
      <w:r>
        <w:rPr>
          <w:rFonts w:hint="eastAsia" w:ascii="仿宋_GB2312" w:hAnsi="仿宋_GB2312" w:eastAsia="仿宋_GB2312" w:cs="仿宋_GB2312"/>
          <w:sz w:val="32"/>
          <w:szCs w:val="32"/>
          <w:lang w:eastAsia="zh-CN"/>
        </w:rPr>
        <w:t>、防震减灾工作的</w:t>
      </w:r>
      <w:r>
        <w:rPr>
          <w:rFonts w:hint="eastAsia" w:ascii="仿宋_GB2312" w:hAnsi="仿宋_GB2312" w:eastAsia="仿宋_GB2312" w:cs="仿宋_GB2312"/>
          <w:sz w:val="32"/>
          <w:szCs w:val="32"/>
        </w:rPr>
        <w:t>副县长</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副指挥长：县人民武装部部长、县政府办公室副主任、县应急管理局局长、县防震减灾中心主任</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县委宣传部、县政府办公室、县人民武装部、县应急管理局、县防震减灾中心、县教育局、县工业和信息化局、县民政局、县财政局、县自然资源局、县住房和城乡建设局、县发展改革和科学技术局、县交通运输局、县水利局、县农业农村局、县文化和旅游局、县卫生健康和体育局、县林业和草原局、县市场监督管理局、县能源局、县公安局、县融媒体中心、县疾病预防控制中心、共青团县委、县红十字会、县公路段、县医疗集团、县气象局、县交警大队、县消防救援大队、武警沁源中队、国网沁源供电公司、移动沁源分公司、联通沁源分公司、电信沁源分公司等单位主要负责人。</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指挥部主要职责：贯彻落实党中央、国务院，省委、省政府，市委、市政府，县委、县政府关于防震抗震工作的决策部署，统筹全县防震减灾和抗震救灾工作，制定防震、抗震、救灾总体规划、重要措施，指导协调地震风险防控、监测预警、调查评估和灾后恢复重建工作，组织指挥地震灾害应急处置工作，决定县级层面地震应急响应级别、应急期并组织落实响应措施，颁布临时规定，依法实施管理、限制、征用等措施，落实县委、县政府及县应急救援总指挥部交办的抗震救灾应急处置的其他重大事项。</w:t>
      </w:r>
    </w:p>
    <w:p>
      <w:pPr>
        <w:pageBreakBefore w:val="0"/>
        <w:widowControl w:val="0"/>
        <w:kinsoku/>
        <w:wordWrap/>
        <w:overflowPunct/>
        <w:topLinePunct w:val="0"/>
        <w:autoSpaceDE/>
        <w:autoSpaceDN/>
        <w:bidi w:val="0"/>
        <w:spacing w:line="600" w:lineRule="exact"/>
        <w:ind w:firstLine="643" w:firstLineChars="200"/>
        <w:textAlignment w:val="auto"/>
        <w:outlineLvl w:val="1"/>
        <w:rPr>
          <w:rFonts w:ascii="仿宋_GB2312" w:hAnsi="仿宋_GB2312" w:eastAsia="仿宋_GB2312" w:cs="仿宋_GB2312"/>
          <w:sz w:val="32"/>
          <w:szCs w:val="32"/>
        </w:rPr>
      </w:pPr>
      <w:bookmarkStart w:id="11" w:name="_Toc26276"/>
      <w:r>
        <w:rPr>
          <w:rFonts w:hint="eastAsia" w:ascii="宋体" w:hAnsi="宋体" w:eastAsia="宋体" w:cs="宋体"/>
          <w:b/>
          <w:sz w:val="32"/>
        </w:rPr>
        <w:t>2.2县抗震救灾指挥部办公室</w:t>
      </w:r>
      <w:bookmarkEnd w:id="11"/>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县抗震救灾指挥部下设办公室，县抗震救灾指挥部办公室（以下称“县指挥办”）设在县应急管理局。办公室主任由县应急管理局兼任。</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办公室主要职责：承担抗震救灾指挥部日常工作，制定、修订抗震救灾专项应急预案，开展地震风险防控治理和监测预警工作，组织桌面推演、实兵演练等抗震救灾专项训练，协调各方面力量参加抗震救灾救援行动，协助县委、县政府指定的负责同志组织抗震救灾应急处置工作，组织开展调查评估和协调推进恢复重建工作，报告和发布抗震救灾信息，指导乡、镇抗震救灾等工作。办公室成员包括县抗震救灾指挥部成员单位的联络员和有关专家、县防震减灾中心相关业务人员。</w:t>
      </w:r>
    </w:p>
    <w:p>
      <w:pPr>
        <w:pageBreakBefore w:val="0"/>
        <w:widowControl w:val="0"/>
        <w:kinsoku/>
        <w:wordWrap/>
        <w:overflowPunct/>
        <w:topLinePunct w:val="0"/>
        <w:autoSpaceDE/>
        <w:autoSpaceDN/>
        <w:bidi w:val="0"/>
        <w:spacing w:line="600" w:lineRule="exact"/>
        <w:ind w:firstLine="643" w:firstLineChars="200"/>
        <w:textAlignment w:val="auto"/>
        <w:outlineLvl w:val="1"/>
        <w:rPr>
          <w:rFonts w:ascii="宋体" w:hAnsi="宋体" w:eastAsia="宋体" w:cs="宋体"/>
          <w:b/>
          <w:sz w:val="32"/>
        </w:rPr>
      </w:pPr>
      <w:bookmarkStart w:id="12" w:name="_Toc7643"/>
      <w:r>
        <w:rPr>
          <w:rFonts w:hint="eastAsia" w:ascii="宋体" w:hAnsi="宋体" w:eastAsia="宋体" w:cs="宋体"/>
          <w:b/>
          <w:sz w:val="32"/>
        </w:rPr>
        <w:t>2.3现场指挥部</w:t>
      </w:r>
      <w:bookmarkEnd w:id="12"/>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地震灾害严重程度和影响范围设立现场指挥部。县指挥部根据地震灾害应急处置需要以灾害乡（镇）应急管理机构为基础，设立现场指挥部。负责统筹协调应急资源，指导开展应急处置工作。县现场指挥部设置如下：</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指挥长：县政府副县长</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副指挥长：县人民武装部、县政府办、县应急管理局、县防震减灾中心相关负责人和灾害发生地乡（镇）长。</w:t>
      </w:r>
    </w:p>
    <w:p>
      <w:pPr>
        <w:pageBreakBefore w:val="0"/>
        <w:widowControl w:val="0"/>
        <w:kinsoku/>
        <w:wordWrap/>
        <w:overflowPunct/>
        <w:topLinePunct w:val="0"/>
        <w:autoSpaceDE/>
        <w:autoSpaceDN/>
        <w:bidi w:val="0"/>
        <w:spacing w:line="600" w:lineRule="exact"/>
        <w:ind w:firstLine="643" w:firstLineChars="200"/>
        <w:textAlignment w:val="auto"/>
        <w:outlineLvl w:val="1"/>
        <w:rPr>
          <w:rFonts w:ascii="宋体" w:hAnsi="宋体" w:eastAsia="宋体" w:cs="宋体"/>
          <w:b/>
          <w:sz w:val="32"/>
        </w:rPr>
      </w:pPr>
      <w:bookmarkStart w:id="13" w:name="_Toc19231"/>
      <w:r>
        <w:rPr>
          <w:rFonts w:hint="eastAsia" w:ascii="宋体" w:hAnsi="宋体" w:eastAsia="宋体" w:cs="宋体"/>
          <w:b/>
          <w:sz w:val="32"/>
        </w:rPr>
        <w:t>2.4现场指挥部工作组组成及职责</w:t>
      </w:r>
      <w:bookmarkEnd w:id="13"/>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县现场指挥部下设10个应急工作组，</w:t>
      </w:r>
      <w:r>
        <w:rPr>
          <w:rFonts w:hint="eastAsia" w:ascii="仿宋_GB2312" w:hAnsi="仿宋_GB2312" w:eastAsia="仿宋_GB2312" w:cs="仿宋_GB2312"/>
          <w:bCs/>
          <w:sz w:val="32"/>
          <w:szCs w:val="32"/>
        </w:rPr>
        <w:t>分别是综合协调组、抢险救援组、物资供应组、医疗救援组、人员安置组、通信保障组、交通保障组、监测评估组、社会稳定组、宣传报道组。</w:t>
      </w:r>
      <w:r>
        <w:rPr>
          <w:rFonts w:hint="eastAsia" w:ascii="仿宋_GB2312" w:hAnsi="仿宋_GB2312" w:eastAsia="仿宋_GB2312" w:cs="仿宋_GB2312"/>
          <w:sz w:val="32"/>
          <w:szCs w:val="32"/>
        </w:rPr>
        <w:t>根据现场情况，指挥长可视情调整工作组、组成单位及职责。</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县抗震救灾指挥部办公室履行信息汇总和综合协调职责，发挥运转枢纽作用。各工作组组成及职责分工如下（见附件2）：</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2.4.1  综合协调组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牵头单位：县应急管理局。</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成员单位：县应急管理局、县政府办、县人力资源和社会保障局、县水利局、县农业农村局等有关部门，灾害乡（镇）人民政府。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职责：落实现场指挥部的抗震救灾指挥，负责应急资源的调度和各小组工作协调；做好相关会务服务保障；负责现场灾情信息的收集、核查、汇总、上报工作；完成现场指挥部交办的其他任务。</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2.4.2抢险救援组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牵头单位：县人民武装部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成员单位：县人民武装部、县交通运输局、县应急管理局、武警沁源中队、县消防救援大队、县矿山救护队、县红十字会、共青团县委。</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职责：负责统筹协调各类救援力量，制定现场抢险抢救方案；组织抢险救援；协调、指挥现场各应急队伍；监督应急人员执行有效的应急操作，保证应急人员的安全；组织灾情巡查；完成现场指挥部交办的其他任务。</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2.4.3物资供应组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牵头单位：县发展改革和科学技术局</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成员单位：县发展改革和科学技术局、县粮食服务中心、县工业和信息化局、县民政局、县商贸服务中心、县供销合作社联合社、县市场监督管理局、县石油公司等相关部门。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职责：负责地震应急基础设施建设和应急物资生产、调拨和储备的综合管理；调拨药品、医疗器械、生活必需品和方便食品、灾后组织生产救灾急需物品及灾区简易安置物品，负责救灾及应急食品药品质量监管。</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2.4.4医学救援组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牵头单位：县卫生健康和体育局</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成员单位：县卫生健康和体育局、县医疗集团、县疾病预防控制中心、县发展改革和科学技术局、县工业和信息化局、县交通运输局、县农业农村局、县红十字会等相关部门。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职责：负责指挥调度前线医疗卫生力量，组织调派专家、卫生应急队伍、急救力量、医疗器械、药品等紧急医学救援资源，开展受灾地区群众医疗、卫生防疫消杀、畜禽免疫和畜禽尸体打捞及无害化处理等工作，负责联系外部医疗资源指导援助</w:t>
      </w:r>
      <w:r>
        <w:rPr>
          <w:rFonts w:hint="eastAsia" w:ascii="仿宋_GB2312" w:hAnsi="仿宋_GB2312" w:eastAsia="仿宋_GB2312" w:cs="仿宋_GB2312"/>
          <w:bCs/>
          <w:sz w:val="32"/>
          <w:szCs w:val="32"/>
        </w:rPr>
        <w:t>；负责现场指挥部交办的其他任务。</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2.4.5人员安置组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牵头单位：县民政局</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县民政局、县应急管理局、县教育、县财政局、县红十字会、县水利局、县住房和城乡建设局、县人力资源和社会保障局、县农业农村局、县工业和信息化局、县市场监督管理局、县能源局、县商贸服务中心、灾害乡（镇）等相关部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职责：开展受灾群众救助工作以及相应的资金物资保障，指导做好受灾群众的紧急转移和安置工作，为救灾救助提供应急志愿服务，开放应急避难场所，组织调集、转运帐篷和灾区生活必需品等抗震救灾物资。支援灾区保障群众基本生活和市场供应；做好灾民紧急转移安置；保障灾区群众基本生活，保障灾区市场供应；指导救灾捐赠工作，指导做好因灾遇难人员善后工作；</w:t>
      </w:r>
      <w:r>
        <w:rPr>
          <w:rFonts w:hint="eastAsia" w:ascii="仿宋_GB2312" w:hAnsi="仿宋_GB2312" w:eastAsia="仿宋_GB2312" w:cs="仿宋_GB2312"/>
          <w:bCs/>
          <w:sz w:val="32"/>
          <w:szCs w:val="32"/>
        </w:rPr>
        <w:t>负责完成现场指挥部交办的其他任务</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2.4.6通信保障组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牵头单位：县工业和信息化局</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成员单位：县工业和信息化局、县应急管理局、移动沁源分公司、联通沁源市分公司、电信沁源分公司。</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职责：指挥调度通信资源和保障力量，组织抢修受损通信设施，保障抗震救灾指挥通信畅通、公众通信网络平稳运行，根据县指挥部要求向社会发布应急信息，利用通信大数据为救灾决策指挥和灾区精准救援提供支撑。</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2.4.7 交通保障组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交通运输局</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成员单位：县交通运输局、县公安局、县交警大队、县应急管理局、县旅游服务中心、县公路段、县医疗集团、县气象局等相关部门。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职责：负责制定向灾区投送应急救援力量和物资的交通运输保障方案；协调运力，优先保证应急抢险救援人员和救灾物资运输需要，指导灾区交通设施抢修恢复和保通，恢复灾区交通秩序等。 </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2.4.8监测评估组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牵头单位：县防震减灾中心</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成员单位：县防震减灾中心、县应急管理局、县工业和信息化局、县财政局、县自然资源局、县生态环境局、县住房和城乡建设局、县交通运输局、县水利局、县能源局、县气象局等相关部门。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职责：密切监视震情发展，做好余震防范；及时组织扑救火灾，处置危险品泄漏和爆炸事故，做好灾区防火以及灾区安全生产隐患和环境风险排查、防范工作；开展灾害损失调查评估和指导建筑物安全性鉴定工作。对较大地质灾害隐患进行监测预警；加强河湖水质监测和危险化学品等的污染防控，保障灾区水库安全和饮用水源安全；对易于发生次生灾害的重大危险源、重要目标物、重大关键基础设施，采取紧急处置措施并加强监控；加强灾区环境监测，减轻或消除环境污染危害；开展地震灾害调查，评估地震灾害损失；及时发布气象灾害预警信息。 </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2.4.9社会稳定组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牵头单位：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公安局</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县公安局、县人民武装部、县卫生健康和体育局、武警沁源中队、县交警大队、县工业和信息化局、县民政局、县财政局、县人力资源和社会保障局、县自然资源局、县住房和城乡建设局、县发展改革和科学技术局、县交通运输局、县水利局、县农业农村局等相关部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职责：指导灾区严格治安管理、道路交通管理，加强重点单位、重点部位治安防范工作，维护治安、道路交通和生产、生活秩序，依法查处打击有关违法犯罪活动，严密防范、妥善处置群体性事件，维护国家政治安全和社会稳定。 </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2.4.10 新闻宣传组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牵头单位：县委宣传部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成员单位：县委宣传部、县公安局、县应急管理局、县防震减灾中心、县教育局、县工业和信息化局、县自然资源局、县住房和城乡建设局、县水利局、县民政局、县气象局、县人力资源和社会保障局、县交通运输局、县发展改革和科学技术局、县农业农村局</w:t>
      </w:r>
      <w:r>
        <w:rPr>
          <w:rFonts w:hint="eastAsia" w:ascii="仿宋_GB2312" w:hAnsi="仿宋_GB2312" w:eastAsia="仿宋_GB2312" w:cs="仿宋_GB2312"/>
          <w:sz w:val="32"/>
          <w:szCs w:val="32"/>
          <w:lang w:eastAsia="zh-CN"/>
        </w:rPr>
        <w:t>、县融媒体中心</w:t>
      </w:r>
      <w:r>
        <w:rPr>
          <w:rFonts w:hint="eastAsia" w:ascii="仿宋_GB2312" w:hAnsi="仿宋_GB2312" w:eastAsia="仿宋_GB2312" w:cs="仿宋_GB2312"/>
          <w:sz w:val="32"/>
          <w:szCs w:val="32"/>
        </w:rPr>
        <w:t>等相关部门。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职责：根据县抗震救灾指挥部发布的权威信息，组织协调新闻媒体做好地震应急宣传报道，加强舆情收集分析，正确引导舆论。</w:t>
      </w:r>
    </w:p>
    <w:p>
      <w:pPr>
        <w:pStyle w:val="2"/>
        <w:pageBreakBefore w:val="0"/>
        <w:widowControl w:val="0"/>
        <w:kinsoku/>
        <w:wordWrap/>
        <w:overflowPunct/>
        <w:topLinePunct w:val="0"/>
        <w:autoSpaceDE/>
        <w:autoSpaceDN/>
        <w:bidi w:val="0"/>
        <w:spacing w:line="600" w:lineRule="exact"/>
        <w:ind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各工作组中牵头单位负责人为组长，统筹协调小组各成员单位按应急职责开展工作。</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color w:val="000000" w:themeColor="text1"/>
          <w14:textFill>
            <w14:solidFill>
              <w14:schemeClr w14:val="tx1"/>
            </w14:solidFill>
          </w14:textFill>
        </w:rPr>
      </w:pPr>
      <w:bookmarkStart w:id="14" w:name="_Toc18630"/>
      <w:bookmarkStart w:id="15" w:name="_Toc109201003"/>
      <w:r>
        <w:rPr>
          <w:rFonts w:hint="eastAsia" w:ascii="宋体" w:hAnsi="宋体" w:eastAsia="宋体" w:cs="楷体_GB2312"/>
          <w:color w:val="000000" w:themeColor="text1"/>
          <w14:textFill>
            <w14:solidFill>
              <w14:schemeClr w14:val="tx1"/>
            </w14:solidFill>
          </w14:textFill>
        </w:rPr>
        <w:t>2.5乡（镇）抗震救灾指挥机构</w:t>
      </w:r>
      <w:bookmarkEnd w:id="14"/>
      <w:bookmarkEnd w:id="15"/>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000000" w:themeColor="text1"/>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各乡（镇）</w:t>
      </w:r>
      <w:r>
        <w:rPr>
          <w:rFonts w:ascii="仿宋_GB2312" w:hAnsi="仿宋_GB2312" w:eastAsia="仿宋_GB2312" w:cs="仿宋_GB2312"/>
          <w:bCs/>
          <w:color w:val="000000" w:themeColor="text1"/>
          <w:sz w:val="32"/>
          <w:szCs w:val="32"/>
          <w14:textFill>
            <w14:solidFill>
              <w14:schemeClr w14:val="tx1"/>
            </w14:solidFill>
          </w14:textFill>
        </w:rPr>
        <w:t>要</w:t>
      </w:r>
      <w:r>
        <w:rPr>
          <w:rFonts w:hint="eastAsia" w:ascii="仿宋_GB2312" w:hAnsi="仿宋_GB2312" w:eastAsia="仿宋_GB2312" w:cs="仿宋_GB2312"/>
          <w:bCs/>
          <w:color w:val="000000" w:themeColor="text1"/>
          <w:sz w:val="32"/>
          <w:szCs w:val="32"/>
          <w14:textFill>
            <w14:solidFill>
              <w14:schemeClr w14:val="tx1"/>
            </w14:solidFill>
          </w14:textFill>
        </w:rPr>
        <w:t>建立健全抗震救灾</w:t>
      </w:r>
      <w:r>
        <w:rPr>
          <w:rFonts w:ascii="仿宋_GB2312" w:hAnsi="仿宋_GB2312" w:eastAsia="仿宋_GB2312" w:cs="仿宋_GB2312"/>
          <w:bCs/>
          <w:color w:val="000000" w:themeColor="text1"/>
          <w:sz w:val="32"/>
          <w:szCs w:val="32"/>
          <w14:textFill>
            <w14:solidFill>
              <w14:schemeClr w14:val="tx1"/>
            </w14:solidFill>
          </w14:textFill>
        </w:rPr>
        <w:t>工作机构</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ascii="仿宋_GB2312" w:hAnsi="仿宋_GB2312" w:eastAsia="仿宋_GB2312" w:cs="仿宋_GB2312"/>
          <w:bCs/>
          <w:color w:val="000000" w:themeColor="text1"/>
          <w:sz w:val="32"/>
          <w:szCs w:val="32"/>
          <w14:textFill>
            <w14:solidFill>
              <w14:schemeClr w14:val="tx1"/>
            </w14:solidFill>
          </w14:textFill>
        </w:rPr>
        <w:t>明确</w:t>
      </w:r>
      <w:r>
        <w:rPr>
          <w:rFonts w:hint="eastAsia" w:ascii="仿宋_GB2312" w:hAnsi="仿宋_GB2312" w:eastAsia="仿宋_GB2312" w:cs="仿宋_GB2312"/>
          <w:bCs/>
          <w:color w:val="000000" w:themeColor="text1"/>
          <w:sz w:val="32"/>
          <w:szCs w:val="32"/>
          <w14:textFill>
            <w14:solidFill>
              <w14:schemeClr w14:val="tx1"/>
            </w14:solidFill>
          </w14:textFill>
        </w:rPr>
        <w:t>抗震救灾</w:t>
      </w:r>
      <w:r>
        <w:rPr>
          <w:rFonts w:ascii="仿宋_GB2312" w:hAnsi="仿宋_GB2312" w:eastAsia="仿宋_GB2312" w:cs="仿宋_GB2312"/>
          <w:bCs/>
          <w:color w:val="000000" w:themeColor="text1"/>
          <w:sz w:val="32"/>
          <w:szCs w:val="32"/>
          <w14:textFill>
            <w14:solidFill>
              <w14:schemeClr w14:val="tx1"/>
            </w14:solidFill>
          </w14:textFill>
        </w:rPr>
        <w:t>工作的人员</w:t>
      </w:r>
      <w:r>
        <w:rPr>
          <w:rFonts w:hint="eastAsia" w:ascii="仿宋_GB2312" w:hAnsi="仿宋_GB2312" w:eastAsia="仿宋_GB2312" w:cs="仿宋_GB2312"/>
          <w:bCs/>
          <w:color w:val="000000" w:themeColor="text1"/>
          <w:sz w:val="32"/>
          <w:szCs w:val="32"/>
          <w14:textFill>
            <w14:solidFill>
              <w14:schemeClr w14:val="tx1"/>
            </w14:solidFill>
          </w14:textFill>
        </w:rPr>
        <w:t>和职责</w:t>
      </w:r>
      <w:r>
        <w:rPr>
          <w:rFonts w:ascii="仿宋_GB2312" w:hAnsi="仿宋_GB2312" w:eastAsia="仿宋_GB2312" w:cs="仿宋_GB2312"/>
          <w:bCs/>
          <w:color w:val="000000" w:themeColor="text1"/>
          <w:sz w:val="32"/>
          <w:szCs w:val="32"/>
          <w14:textFill>
            <w14:solidFill>
              <w14:schemeClr w14:val="tx1"/>
            </w14:solidFill>
          </w14:textFill>
        </w:rPr>
        <w:t>，负责属地</w:t>
      </w:r>
      <w:r>
        <w:rPr>
          <w:rFonts w:hint="eastAsia" w:ascii="仿宋_GB2312" w:hAnsi="仿宋_GB2312" w:eastAsia="仿宋_GB2312" w:cs="仿宋_GB2312"/>
          <w:bCs/>
          <w:color w:val="000000" w:themeColor="text1"/>
          <w:sz w:val="32"/>
          <w:szCs w:val="32"/>
          <w14:textFill>
            <w14:solidFill>
              <w14:schemeClr w14:val="tx1"/>
            </w14:solidFill>
          </w14:textFill>
        </w:rPr>
        <w:t>辖区行政村（社区）、企事业单位</w:t>
      </w:r>
      <w:r>
        <w:rPr>
          <w:rFonts w:ascii="仿宋_GB2312" w:hAnsi="仿宋_GB2312" w:eastAsia="仿宋_GB2312" w:cs="仿宋_GB2312"/>
          <w:bCs/>
          <w:color w:val="000000" w:themeColor="text1"/>
          <w:sz w:val="32"/>
          <w:szCs w:val="32"/>
          <w14:textFill>
            <w14:solidFill>
              <w14:schemeClr w14:val="tx1"/>
            </w14:solidFill>
          </w14:textFill>
        </w:rPr>
        <w:t>落实</w:t>
      </w:r>
      <w:r>
        <w:rPr>
          <w:rFonts w:hint="eastAsia" w:ascii="仿宋_GB2312" w:hAnsi="仿宋_GB2312" w:eastAsia="仿宋_GB2312" w:cs="仿宋_GB2312"/>
          <w:bCs/>
          <w:color w:val="000000" w:themeColor="text1"/>
          <w:sz w:val="32"/>
          <w:szCs w:val="32"/>
          <w14:textFill>
            <w14:solidFill>
              <w14:schemeClr w14:val="tx1"/>
            </w14:solidFill>
          </w14:textFill>
        </w:rPr>
        <w:t>抗震救灾</w:t>
      </w:r>
      <w:r>
        <w:rPr>
          <w:rFonts w:ascii="仿宋_GB2312" w:hAnsi="仿宋_GB2312" w:eastAsia="仿宋_GB2312" w:cs="仿宋_GB2312"/>
          <w:bCs/>
          <w:color w:val="000000" w:themeColor="text1"/>
          <w:sz w:val="32"/>
          <w:szCs w:val="32"/>
          <w14:textFill>
            <w14:solidFill>
              <w14:schemeClr w14:val="tx1"/>
            </w14:solidFill>
          </w14:textFill>
        </w:rPr>
        <w:t>应对措施，</w:t>
      </w:r>
      <w:r>
        <w:rPr>
          <w:rFonts w:hint="eastAsia" w:ascii="仿宋_GB2312" w:hAnsi="仿宋_GB2312" w:eastAsia="仿宋_GB2312" w:cs="仿宋_GB2312"/>
          <w:bCs/>
          <w:color w:val="000000" w:themeColor="text1"/>
          <w:sz w:val="32"/>
          <w:szCs w:val="32"/>
          <w14:textFill>
            <w14:solidFill>
              <w14:schemeClr w14:val="tx1"/>
            </w14:solidFill>
          </w14:textFill>
        </w:rPr>
        <w:t>编制修订乡（镇）抗震救灾应急预案，做好灾害巡查、信息上报、监测预警及人员转移安置等先期处置工作，</w:t>
      </w:r>
      <w:r>
        <w:rPr>
          <w:rFonts w:ascii="仿宋_GB2312" w:hAnsi="仿宋_GB2312" w:eastAsia="仿宋_GB2312" w:cs="仿宋_GB2312"/>
          <w:bCs/>
          <w:color w:val="000000" w:themeColor="text1"/>
          <w:sz w:val="32"/>
          <w:szCs w:val="32"/>
          <w14:textFill>
            <w14:solidFill>
              <w14:schemeClr w14:val="tx1"/>
            </w14:solidFill>
          </w14:textFill>
        </w:rPr>
        <w:t>在</w:t>
      </w:r>
      <w:r>
        <w:rPr>
          <w:rFonts w:hint="eastAsia" w:ascii="仿宋_GB2312" w:hAnsi="仿宋_GB2312" w:eastAsia="仿宋_GB2312" w:cs="仿宋_GB2312"/>
          <w:bCs/>
          <w:color w:val="000000" w:themeColor="text1"/>
          <w:sz w:val="32"/>
          <w:szCs w:val="32"/>
          <w14:textFill>
            <w14:solidFill>
              <w14:schemeClr w14:val="tx1"/>
            </w14:solidFill>
          </w14:textFill>
        </w:rPr>
        <w:t>县</w:t>
      </w:r>
      <w:r>
        <w:rPr>
          <w:rFonts w:ascii="仿宋_GB2312" w:hAnsi="仿宋_GB2312" w:eastAsia="仿宋_GB2312" w:cs="仿宋_GB2312"/>
          <w:bCs/>
          <w:color w:val="000000" w:themeColor="text1"/>
          <w:sz w:val="32"/>
          <w:szCs w:val="32"/>
          <w14:textFill>
            <w14:solidFill>
              <w14:schemeClr w14:val="tx1"/>
            </w14:solidFill>
          </w14:textFill>
        </w:rPr>
        <w:t>委、</w:t>
      </w:r>
      <w:r>
        <w:rPr>
          <w:rFonts w:hint="eastAsia" w:ascii="仿宋_GB2312" w:hAnsi="仿宋_GB2312" w:eastAsia="仿宋_GB2312" w:cs="仿宋_GB2312"/>
          <w:bCs/>
          <w:color w:val="000000" w:themeColor="text1"/>
          <w:sz w:val="32"/>
          <w:szCs w:val="32"/>
          <w14:textFill>
            <w14:solidFill>
              <w14:schemeClr w14:val="tx1"/>
            </w14:solidFill>
          </w14:textFill>
        </w:rPr>
        <w:t>县</w:t>
      </w:r>
      <w:r>
        <w:rPr>
          <w:rFonts w:ascii="仿宋_GB2312" w:hAnsi="仿宋_GB2312" w:eastAsia="仿宋_GB2312" w:cs="仿宋_GB2312"/>
          <w:bCs/>
          <w:color w:val="000000" w:themeColor="text1"/>
          <w:sz w:val="32"/>
          <w:szCs w:val="32"/>
          <w14:textFill>
            <w14:solidFill>
              <w14:schemeClr w14:val="tx1"/>
            </w14:solidFill>
          </w14:textFill>
        </w:rPr>
        <w:t>政府和</w:t>
      </w:r>
      <w:r>
        <w:rPr>
          <w:rFonts w:hint="eastAsia" w:ascii="仿宋_GB2312" w:hAnsi="仿宋_GB2312" w:eastAsia="仿宋_GB2312" w:cs="仿宋_GB2312"/>
          <w:bCs/>
          <w:color w:val="000000" w:themeColor="text1"/>
          <w:sz w:val="32"/>
          <w:szCs w:val="32"/>
          <w14:textFill>
            <w14:solidFill>
              <w14:schemeClr w14:val="tx1"/>
            </w14:solidFill>
          </w14:textFill>
        </w:rPr>
        <w:t>县指挥部</w:t>
      </w:r>
      <w:r>
        <w:rPr>
          <w:rFonts w:ascii="仿宋_GB2312" w:hAnsi="仿宋_GB2312" w:eastAsia="仿宋_GB2312" w:cs="仿宋_GB2312"/>
          <w:bCs/>
          <w:color w:val="000000" w:themeColor="text1"/>
          <w:sz w:val="32"/>
          <w:szCs w:val="32"/>
          <w14:textFill>
            <w14:solidFill>
              <w14:schemeClr w14:val="tx1"/>
            </w14:solidFill>
          </w14:textFill>
        </w:rPr>
        <w:t>领导指挥下，做好</w:t>
      </w:r>
      <w:r>
        <w:rPr>
          <w:rFonts w:hint="eastAsia" w:ascii="仿宋_GB2312" w:hAnsi="仿宋_GB2312" w:eastAsia="仿宋_GB2312" w:cs="仿宋_GB2312"/>
          <w:bCs/>
          <w:color w:val="000000" w:themeColor="text1"/>
          <w:sz w:val="32"/>
          <w:szCs w:val="32"/>
          <w14:textFill>
            <w14:solidFill>
              <w14:schemeClr w14:val="tx1"/>
            </w14:solidFill>
          </w14:textFill>
        </w:rPr>
        <w:t>抗震救灾应急</w:t>
      </w:r>
      <w:r>
        <w:rPr>
          <w:rFonts w:ascii="仿宋_GB2312" w:hAnsi="仿宋_GB2312" w:eastAsia="仿宋_GB2312" w:cs="仿宋_GB2312"/>
          <w:bCs/>
          <w:color w:val="000000" w:themeColor="text1"/>
          <w:sz w:val="32"/>
          <w:szCs w:val="32"/>
          <w14:textFill>
            <w14:solidFill>
              <w14:schemeClr w14:val="tx1"/>
            </w14:solidFill>
          </w14:textFill>
        </w:rPr>
        <w:t>工作。</w:t>
      </w:r>
    </w:p>
    <w:p>
      <w:pPr>
        <w:pStyle w:val="3"/>
        <w:pageBreakBefore w:val="0"/>
        <w:widowControl w:val="0"/>
        <w:kinsoku/>
        <w:wordWrap/>
        <w:overflowPunct/>
        <w:topLinePunct w:val="0"/>
        <w:autoSpaceDE/>
        <w:autoSpaceDN/>
        <w:bidi w:val="0"/>
        <w:spacing w:before="120" w:after="120" w:line="600" w:lineRule="exact"/>
        <w:ind w:firstLine="643" w:firstLineChars="200"/>
        <w:textAlignment w:val="auto"/>
        <w:rPr>
          <w:rFonts w:ascii="宋体" w:hAnsi="宋体" w:eastAsia="宋体" w:cs="宋体"/>
          <w:sz w:val="32"/>
          <w:szCs w:val="32"/>
        </w:rPr>
      </w:pPr>
      <w:bookmarkStart w:id="16" w:name="_Toc2504"/>
      <w:bookmarkStart w:id="17" w:name="_Toc39156938"/>
      <w:bookmarkStart w:id="18" w:name="_Toc1259"/>
      <w:r>
        <w:rPr>
          <w:rFonts w:hint="eastAsia" w:ascii="宋体" w:hAnsi="宋体" w:eastAsia="宋体" w:cs="宋体"/>
          <w:sz w:val="32"/>
          <w:szCs w:val="32"/>
        </w:rPr>
        <w:t>3  风险识别防控</w:t>
      </w:r>
      <w:bookmarkEnd w:id="16"/>
      <w:bookmarkEnd w:id="17"/>
      <w:bookmarkEnd w:id="18"/>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rPr>
      </w:pPr>
      <w:bookmarkStart w:id="19" w:name="_Toc4392"/>
      <w:bookmarkStart w:id="20" w:name="_Toc8418"/>
      <w:r>
        <w:rPr>
          <w:rFonts w:hint="eastAsia" w:ascii="宋体" w:hAnsi="宋体" w:eastAsia="宋体" w:cs="楷体_GB2312"/>
        </w:rPr>
        <w:t>3.1风险识别</w:t>
      </w:r>
      <w:bookmarkEnd w:id="19"/>
      <w:bookmarkEnd w:id="20"/>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县应急管理局、县气象局、县水利局、县教育局、县农业农村局、县</w:t>
      </w:r>
      <w:r>
        <w:rPr>
          <w:rFonts w:hint="eastAsia" w:ascii="仿宋_GB2312" w:hAnsi="仿宋_GB2312" w:eastAsia="仿宋_GB2312" w:cs="仿宋_GB2312"/>
          <w:bCs/>
          <w:sz w:val="32"/>
          <w:szCs w:val="32"/>
          <w:lang w:eastAsia="zh-CN"/>
        </w:rPr>
        <w:t>住建</w:t>
      </w:r>
      <w:r>
        <w:rPr>
          <w:rFonts w:hint="eastAsia" w:ascii="仿宋_GB2312" w:hAnsi="仿宋_GB2312" w:eastAsia="仿宋_GB2312" w:cs="仿宋_GB2312"/>
          <w:bCs/>
          <w:sz w:val="32"/>
          <w:szCs w:val="32"/>
        </w:rPr>
        <w:t>局等部门根据需要及时组织行业（系统）结合本区地震烈度，开展辖区重要水利工程、重要基础设施、学校、医院等建筑设施的抗震性进行调研，识别和研判灾害性地震可能带来的风险，并向县防指报告研判结论。</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rPr>
      </w:pPr>
      <w:bookmarkStart w:id="21" w:name="_Toc19639"/>
      <w:bookmarkStart w:id="22" w:name="_Toc14436"/>
      <w:r>
        <w:rPr>
          <w:rFonts w:hint="eastAsia" w:ascii="宋体" w:hAnsi="宋体" w:eastAsia="宋体" w:cs="楷体_GB2312"/>
        </w:rPr>
        <w:t>3.2风险提示</w:t>
      </w:r>
      <w:bookmarkEnd w:id="21"/>
      <w:bookmarkEnd w:id="22"/>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各成员单位要分析行业（系统）的可能存在的地震灾害风险隐患，列出风险清单、对重点区域、重点建筑、重要工程提出管控要求，向县、乡（镇）、社区和管理单位发送风险提示单，并报县防指办。</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rPr>
      </w:pPr>
      <w:bookmarkStart w:id="23" w:name="_Toc14138"/>
      <w:bookmarkStart w:id="24" w:name="_Toc21383"/>
      <w:r>
        <w:rPr>
          <w:rFonts w:hint="eastAsia" w:ascii="宋体" w:hAnsi="宋体" w:eastAsia="宋体" w:cs="楷体_GB2312"/>
        </w:rPr>
        <w:t>3.3风险管控</w:t>
      </w:r>
      <w:bookmarkEnd w:id="23"/>
      <w:bookmarkEnd w:id="24"/>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乡（镇）和管理单位根据风险提示单，逐项落实管控措施，形成风险管控表并报上级主管部门。各成员单位负责督促地方落实管控措施，县教育局负责落实县各学校建筑的加固抗震措施；公安、交通运输部门负责提供交通管控等信息，实现风险闭环管理；加强地震行政执法，确保重大建设工程符合抗震设防要求；加大对水库、堤坝等水利基础设施的排险加固，消除灾害隐患。</w:t>
      </w:r>
    </w:p>
    <w:p>
      <w:pPr>
        <w:pStyle w:val="3"/>
        <w:pageBreakBefore w:val="0"/>
        <w:widowControl w:val="0"/>
        <w:kinsoku/>
        <w:wordWrap/>
        <w:overflowPunct/>
        <w:topLinePunct w:val="0"/>
        <w:autoSpaceDE/>
        <w:autoSpaceDN/>
        <w:bidi w:val="0"/>
        <w:spacing w:before="120" w:after="120" w:line="600" w:lineRule="exact"/>
        <w:ind w:firstLine="643" w:firstLineChars="200"/>
        <w:textAlignment w:val="auto"/>
        <w:rPr>
          <w:rFonts w:ascii="宋体" w:hAnsi="宋体" w:eastAsia="宋体" w:cs="宋体"/>
          <w:sz w:val="32"/>
          <w:szCs w:val="32"/>
        </w:rPr>
      </w:pPr>
      <w:bookmarkStart w:id="25" w:name="_Toc13513"/>
      <w:bookmarkStart w:id="26" w:name="_Toc9752"/>
      <w:r>
        <w:rPr>
          <w:rFonts w:hint="eastAsia" w:ascii="宋体" w:hAnsi="宋体" w:eastAsia="宋体" w:cs="宋体"/>
          <w:sz w:val="32"/>
          <w:szCs w:val="32"/>
        </w:rPr>
        <w:t>4应急准备</w:t>
      </w:r>
      <w:bookmarkEnd w:id="25"/>
      <w:bookmarkEnd w:id="26"/>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rPr>
      </w:pPr>
      <w:bookmarkStart w:id="27" w:name="_Toc2423"/>
      <w:bookmarkStart w:id="28" w:name="_Toc9468"/>
      <w:r>
        <w:rPr>
          <w:rFonts w:hint="eastAsia" w:ascii="宋体" w:hAnsi="宋体" w:eastAsia="宋体" w:cs="楷体_GB2312"/>
        </w:rPr>
        <w:t>4.1思想准备</w:t>
      </w:r>
      <w:bookmarkEnd w:id="27"/>
      <w:bookmarkEnd w:id="28"/>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加强学习培训，增强各级各部门领导干部的风险意识和底线 思维，树牢“人民至上、生命至上”理念；加强宣传，提高全民 预防地震灾害和自我防护意识；坚持以防为主，防灾抗灾救灾相结合，牢固树立以人民为中心的思想，保障人民群众生命财产安全。</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rPr>
      </w:pPr>
      <w:bookmarkStart w:id="29" w:name="_Toc12480"/>
      <w:bookmarkStart w:id="30" w:name="_Toc453"/>
      <w:r>
        <w:rPr>
          <w:rFonts w:hint="eastAsia" w:ascii="宋体" w:hAnsi="宋体" w:eastAsia="宋体" w:cs="楷体_GB2312"/>
        </w:rPr>
        <w:t>4.2组织准备</w:t>
      </w:r>
      <w:bookmarkEnd w:id="29"/>
      <w:bookmarkEnd w:id="30"/>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县指挥部按照抗震救灾责任工作，成立督导工作组，督促指导各部门、单位、乡（镇）做好抗震救灾各项工作。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县指挥部督促重要堤防、水库、城市、重要设施管理单位明确管理责任人，落实县指挥部抗震救灾各项指示要求。一旦进入临震期，各级相关责任人必须按要求履行抗震救灾职责，保持24 小时联系畅通；加强值守备勤、在岗到位，全力投入抢险救灾。</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rPr>
      </w:pPr>
      <w:bookmarkStart w:id="31" w:name="_Toc24280"/>
      <w:bookmarkStart w:id="32" w:name="_Toc27452"/>
      <w:r>
        <w:rPr>
          <w:rFonts w:hint="eastAsia" w:ascii="宋体" w:hAnsi="宋体" w:eastAsia="宋体" w:cs="楷体_GB2312"/>
        </w:rPr>
        <w:t>4.3预案准备</w:t>
      </w:r>
      <w:bookmarkEnd w:id="31"/>
      <w:bookmarkEnd w:id="32"/>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4.3.1建立完善预案体系</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县指挥部办公室要指导督促各成员单位和各乡（镇），加强抗震救灾预案编制修订工作，建立完善县抗震救灾应急预案体系。</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4.3.2预案修订</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预案修订应紧密结合本部门、企事业单位、乡（镇）、村（社区）的具体情况和特点，制定完善抗震救灾措施，重点针对紧急情况下的人员转移避险、职责措施落实、物资统筹调度等方面细化完善应急预案，做到岗位有值守、职责有落实、现场有处置、转移有方向，措施有实效。</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4.3.3预案实效</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指挥部和成员单位要结合本部门、乡（镇）应急重点开展抗震救灾应急演练。通过演练，查找应急预案中存在的问题，进而完善应急预案，提高应急预案的实用性和可操作性；检查应急抢险所需应急队伍、物资、装备、技术等方面的准备情况，查漏补缺，做好应急准备工作；增强演练组织单位、参与单位和人员等对应急预案的熟悉程度，提高其应急处置能力；进一步明确相关单位和人员的职责任务，理顺工作关系，完善应急机制；普及应急知识，提高公众风险防范意识和自救互救等灾害应对能力。</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rPr>
      </w:pPr>
      <w:bookmarkStart w:id="33" w:name="_Toc19157"/>
      <w:bookmarkStart w:id="34" w:name="_Toc27877"/>
      <w:r>
        <w:rPr>
          <w:rFonts w:hint="eastAsia" w:ascii="宋体" w:hAnsi="宋体" w:eastAsia="宋体" w:cs="楷体_GB2312"/>
        </w:rPr>
        <w:t>4.4物资准备</w:t>
      </w:r>
      <w:bookmarkEnd w:id="33"/>
      <w:bookmarkEnd w:id="34"/>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县、乡（镇）两级抗震救灾指挥机构按照“定额储备、专业管理、保障急需”的原则进行分级储备管理，在县、乡（镇）两级应急指挥部统筹协调下对应急物资统一管理、按需调用。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抗震救灾物资必须“专物专用”，非抗震救灾应急需要，任何单位和个人不得动用。 </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rPr>
      </w:pPr>
      <w:bookmarkStart w:id="35" w:name="_Toc17853"/>
      <w:bookmarkStart w:id="36" w:name="_Toc11565"/>
      <w:r>
        <w:rPr>
          <w:rFonts w:hint="eastAsia" w:ascii="宋体" w:hAnsi="宋体" w:eastAsia="宋体" w:cs="楷体_GB2312"/>
        </w:rPr>
        <w:t>4.5工程准备</w:t>
      </w:r>
      <w:bookmarkEnd w:id="35"/>
      <w:bookmarkEnd w:id="36"/>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水利局、县住房和城乡建设管理局、县自然资源局等部门要开展各类防洪工程、水毁修复工程、病险水利工程除险加固；县教育局、县工业和信息化局、县交通运输局、县卫生健康和体育局、县应急管理局、国网沁源供电公司、县移动、通信（移动、联通、电信）等部门按照职责分工，组织开展学校、医院、市场、商业中心、居民住房、市政、电力、通信、交通、供水、能源、工矿企业、危化品储运等建筑设施及其他公共安全设施设备安全检查，及时消除安全隐患。</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rPr>
      </w:pPr>
      <w:bookmarkStart w:id="37" w:name="_Toc32482"/>
      <w:bookmarkStart w:id="38" w:name="_Toc21180"/>
      <w:r>
        <w:rPr>
          <w:rFonts w:hint="eastAsia" w:ascii="宋体" w:hAnsi="宋体" w:eastAsia="宋体" w:cs="楷体_GB2312"/>
        </w:rPr>
        <w:t>4.6应急力量准备</w:t>
      </w:r>
      <w:bookmarkEnd w:id="37"/>
      <w:bookmarkEnd w:id="38"/>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4.6.1专业应急力量</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水库、河道堤坝等防洪工程管理单位应组建专（兼）职抢险救援队伍，承担巡堤查险、设施设备启闭及风险隐患排查处理、险情先期处置等任务。</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4.6.2骨干应急力量</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统筹协调县消防救援大队、县森林消防队、县矿山救护队等应急抢险救援力量，由县指挥部一指挥调度，制定抗震救灾方案，承担辖区抗震抢险任务；必要时，按照军地协调联动机制，请求武警沁源中队、民兵预备役参加抗震抢险救援救灾。</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4.6.3基层应急力量</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各乡（镇）、行政村要结合民兵连队伍建设，建立民兵应急救援力量。生产存储危险化学品的企业要加强本单位抗震救援力量建设，组建或者明确应急抢险救援队伍。</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3"/>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4.6.4社会应急力量</w:t>
      </w:r>
    </w:p>
    <w:p>
      <w:pPr>
        <w:pStyle w:val="15"/>
        <w:pageBreakBefore w:val="0"/>
        <w:widowControl w:val="0"/>
        <w:kinsoku/>
        <w:wordWrap/>
        <w:overflowPunct/>
        <w:topLinePunct w:val="0"/>
        <w:autoSpaceDE/>
        <w:autoSpaceDN/>
        <w:bidi w:val="0"/>
        <w:spacing w:before="0" w:beforeAutospacing="0" w:after="0" w:afterAutospacing="0" w:line="600" w:lineRule="exact"/>
        <w:ind w:left="0" w:leftChars="0" w:firstLine="640"/>
        <w:textAlignment w:val="auto"/>
        <w:rPr>
          <w:rFonts w:ascii="仿宋_GB2312" w:eastAsia="仿宋_GB2312"/>
          <w:sz w:val="32"/>
          <w:szCs w:val="32"/>
        </w:rPr>
      </w:pPr>
      <w:r>
        <w:rPr>
          <w:rFonts w:hint="eastAsia" w:ascii="仿宋_GB2312" w:eastAsia="仿宋_GB2312"/>
          <w:sz w:val="32"/>
          <w:szCs w:val="32"/>
        </w:rPr>
        <w:t>各行业主管部门、乡（镇）、社区要对本部门和辖区内兼职应急抢险队伍和志愿者进行调查摸底，登记造册。适时加强应急抢险能力培训，作为后备力量从事应急抢险辅助工作。</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楷体_GB2312"/>
        </w:rPr>
      </w:pPr>
      <w:bookmarkStart w:id="39" w:name="_Toc32203"/>
      <w:bookmarkStart w:id="40" w:name="_Toc12554"/>
      <w:r>
        <w:rPr>
          <w:rFonts w:hint="eastAsia" w:ascii="宋体" w:hAnsi="宋体" w:eastAsia="宋体" w:cs="楷体_GB2312"/>
        </w:rPr>
        <w:t>4.7技术准备</w:t>
      </w:r>
      <w:bookmarkEnd w:id="39"/>
      <w:bookmarkEnd w:id="40"/>
    </w:p>
    <w:p>
      <w:pPr>
        <w:pStyle w:val="10"/>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pPr>
      <w:r>
        <w:rPr>
          <w:rFonts w:hint="eastAsia" w:ascii="仿宋_GB2312" w:hAnsi="仿宋_GB2312" w:eastAsia="仿宋_GB2312" w:cs="仿宋_GB2312"/>
          <w:bCs/>
          <w:kern w:val="2"/>
          <w:sz w:val="32"/>
          <w:szCs w:val="32"/>
        </w:rPr>
        <w:t>县指挥部有关成员单位要加强技术专家力量建设或与相关单位签订技术支撑协议委派专业人员进行指导，切实做好抢险救灾技术支撑工作。不断完善应急指挥调度系统等系统（平台）建设，做好灾害信息资源共享，提高灾害信息获取和应急保障能力。</w:t>
      </w:r>
    </w:p>
    <w:p>
      <w:pPr>
        <w:pStyle w:val="3"/>
        <w:pageBreakBefore w:val="0"/>
        <w:widowControl w:val="0"/>
        <w:kinsoku/>
        <w:wordWrap/>
        <w:overflowPunct/>
        <w:topLinePunct w:val="0"/>
        <w:autoSpaceDE/>
        <w:autoSpaceDN/>
        <w:bidi w:val="0"/>
        <w:spacing w:before="120" w:after="120" w:line="600" w:lineRule="exact"/>
        <w:ind w:firstLine="643" w:firstLineChars="200"/>
        <w:textAlignment w:val="auto"/>
        <w:rPr>
          <w:rFonts w:ascii="宋体" w:hAnsi="宋体" w:eastAsia="宋体" w:cs="宋体"/>
          <w:sz w:val="32"/>
          <w:szCs w:val="32"/>
        </w:rPr>
      </w:pPr>
      <w:bookmarkStart w:id="41" w:name="_Toc12343"/>
      <w:r>
        <w:rPr>
          <w:rFonts w:hint="eastAsia" w:ascii="宋体" w:hAnsi="宋体" w:eastAsia="宋体" w:cs="宋体"/>
          <w:sz w:val="32"/>
          <w:szCs w:val="32"/>
        </w:rPr>
        <w:t>5  监测与预警</w:t>
      </w:r>
      <w:bookmarkEnd w:id="41"/>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42" w:name="_Toc9842"/>
      <w:r>
        <w:rPr>
          <w:rFonts w:hint="eastAsia" w:ascii="宋体" w:hAnsi="宋体" w:eastAsia="宋体" w:cs="宋体"/>
        </w:rPr>
        <w:t>5.1  监测预报</w:t>
      </w:r>
      <w:bookmarkEnd w:id="42"/>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（1）震情预测</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应急管理局（县防震减灾中心）要加强震情监视跟踪、异常现象收集和地震预测，及时对地震预测意见和可能与地震有关的异常现象进行综合分析研判，召开地震震情会商会，形成地震预报意见，按程序向市应急管理局（市防震减灾中心）报告。</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（2）震情预警</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当上级部门宣布我县为地震短期预报的地区，进入临震应急期时，发现明显地震异常的紧急情况下，县政府可紧急发布我县48小时内临震预报，即进入临震应急预警阶段。县指挥部根据地震预测意见发布地震预警信息，组织相关地区加强应急准备。并同时向上级负责管理地震工作部门报告。</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43" w:name="_Toc2672"/>
      <w:r>
        <w:rPr>
          <w:rFonts w:hint="eastAsia" w:ascii="宋体" w:hAnsi="宋体" w:eastAsia="宋体" w:cs="宋体"/>
        </w:rPr>
        <w:t>5.2  震情速报</w:t>
      </w:r>
      <w:bookmarkEnd w:id="43"/>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内发生3级以上地震后，县应急管理局（县防震减灾中心）立即将正式速报参数测定结果报告县指挥办，由县指挥办通报县指挥部成员单位及有关乡（镇）人民政府；向县指挥部提出地震应急响应级别建议，开展震情监测和灾情评估；负责向社会发布地震监测、地震预警、地震烈度速报等信息。</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44" w:name="_Toc25747"/>
      <w:r>
        <w:rPr>
          <w:rFonts w:hint="eastAsia" w:ascii="宋体" w:hAnsi="宋体" w:eastAsia="宋体" w:cs="宋体"/>
        </w:rPr>
        <w:t>5.3  灾害预警</w:t>
      </w:r>
      <w:bookmarkEnd w:id="44"/>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地震灾害预测严重程度、影响范围和处置能力，预警等级由低到高划分为四级预警级别。“4.0—3.0级（有感）地震”为四级（Ⅳ级）、“5.0—4.0级地震”为三级（Ⅲ级）、“6.0—5.0级地震”为二级（Ⅱ级）、“6级以上地震”为一级（Ⅰ级），依次用蓝色、黄色、橙色、红色预警（见附件4）。</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县应急管理局（县防震减灾中心）通过地震预警设施和广播电视、手机短信、网络媒体、公众服务平台向社会发布地震预警信息。</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pStyle w:val="3"/>
        <w:pageBreakBefore w:val="0"/>
        <w:widowControl w:val="0"/>
        <w:kinsoku/>
        <w:wordWrap/>
        <w:overflowPunct/>
        <w:topLinePunct w:val="0"/>
        <w:autoSpaceDE/>
        <w:autoSpaceDN/>
        <w:bidi w:val="0"/>
        <w:spacing w:before="120" w:after="120" w:line="600" w:lineRule="exact"/>
        <w:ind w:firstLine="643" w:firstLineChars="200"/>
        <w:textAlignment w:val="auto"/>
        <w:rPr>
          <w:rFonts w:ascii="宋体" w:hAnsi="宋体" w:eastAsia="宋体" w:cs="宋体"/>
          <w:sz w:val="32"/>
          <w:szCs w:val="32"/>
        </w:rPr>
      </w:pPr>
      <w:bookmarkStart w:id="45" w:name="_Toc30018"/>
      <w:r>
        <w:rPr>
          <w:rFonts w:hint="eastAsia" w:ascii="宋体" w:hAnsi="宋体" w:eastAsia="宋体" w:cs="宋体"/>
          <w:sz w:val="32"/>
          <w:szCs w:val="32"/>
        </w:rPr>
        <w:t>6  应急处置与救援</w:t>
      </w:r>
      <w:bookmarkEnd w:id="45"/>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46" w:name="_Toc4511"/>
      <w:r>
        <w:rPr>
          <w:rFonts w:hint="eastAsia" w:ascii="宋体" w:hAnsi="宋体" w:eastAsia="宋体" w:cs="宋体"/>
        </w:rPr>
        <w:t>6.1  信息处置</w:t>
      </w:r>
      <w:bookmarkEnd w:id="46"/>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震灾害发生后，受灾区及时将震情、灾情等信息报所在乡（镇）级人民政府，同时报县应急管理局（县防震减灾中心），必要时可越级上报。发生地震灾害，应急管理等部门迅速组织开展现场灾情收集、分析研判工作，及时将有关情况上报县委、县政府，同时通报有关部门。县公安、工信、交通、水利、住建、教育、卫</w:t>
      </w:r>
      <w:r>
        <w:rPr>
          <w:rFonts w:hint="eastAsia" w:ascii="仿宋_GB2312" w:hAnsi="仿宋_GB2312" w:eastAsia="仿宋_GB2312" w:cs="仿宋_GB2312"/>
          <w:sz w:val="32"/>
          <w:szCs w:val="32"/>
          <w:lang w:eastAsia="zh-CN"/>
        </w:rPr>
        <w:t>体</w:t>
      </w:r>
      <w:r>
        <w:rPr>
          <w:rFonts w:hint="eastAsia" w:ascii="仿宋_GB2312" w:hAnsi="仿宋_GB2312" w:eastAsia="仿宋_GB2312" w:cs="仿宋_GB2312"/>
          <w:sz w:val="32"/>
          <w:szCs w:val="32"/>
        </w:rPr>
        <w:t>、自然资源、能源等有关部门及时将收集了解的情况报县指挥办公室。</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47" w:name="_Toc3641"/>
      <w:r>
        <w:rPr>
          <w:rFonts w:hint="eastAsia" w:ascii="宋体" w:hAnsi="宋体" w:eastAsia="宋体" w:cs="宋体"/>
        </w:rPr>
        <w:t>6.2  先期处置</w:t>
      </w:r>
      <w:bookmarkEnd w:id="47"/>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灾区所在乡（镇）人民政府立即按照本级预案视情启动相应级别应急响应。第一时间开展灾情核查上报，发动基层干部群众开展自救互救，组织基层抢险救灾队伍开展人员搜救和医疗救护，开放或临时设置应急避难场所，及时转移和安置受灾群众，防范次生灾害，维护灾区社会秩序，提出需要支援的应急措施建议，采取措施保障救援队伍快速开展救援活动。</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48" w:name="_Toc11401"/>
      <w:r>
        <w:rPr>
          <w:rFonts w:hint="eastAsia" w:ascii="宋体" w:hAnsi="宋体" w:eastAsia="宋体" w:cs="宋体"/>
        </w:rPr>
        <w:t>6.3  应急响应</w:t>
      </w:r>
      <w:bookmarkEnd w:id="48"/>
    </w:p>
    <w:p>
      <w:pPr>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6.3.1应急响应分级</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县级响应由低到高设定为四级、三级、二级、一级四个响应等级。地震灾害发生后，依据响应条件，启动县级地震灾害应急响应（各等级响应条件详见附件3）。</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跨县地震灾害应急救援工作，必要时由县指挥部负责与相邻县进行协调；县内跨行政区域的，由相邻乡（镇）政府分别指挥，县指挥部予以协调。</w:t>
      </w:r>
    </w:p>
    <w:p>
      <w:pPr>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b/>
          <w:bCs/>
          <w:sz w:val="32"/>
          <w:szCs w:val="32"/>
        </w:rPr>
      </w:pPr>
      <w:r>
        <w:rPr>
          <w:rFonts w:hint="eastAsia" w:ascii="楷体_GB2312" w:hAnsi="楷体_GB2312" w:eastAsia="楷体_GB2312" w:cs="楷体_GB2312"/>
          <w:b/>
          <w:bCs/>
          <w:sz w:val="32"/>
        </w:rPr>
        <w:t>6.3.2应急</w:t>
      </w:r>
      <w:r>
        <w:rPr>
          <w:rFonts w:hint="eastAsia" w:ascii="仿宋_GB2312" w:hAnsi="仿宋_GB2312" w:eastAsia="仿宋_GB2312" w:cs="仿宋_GB2312"/>
          <w:b/>
          <w:bCs/>
          <w:sz w:val="32"/>
          <w:szCs w:val="32"/>
        </w:rPr>
        <w:t>响应程序</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县指挥部根地震灾害信息和预测预警信息，统筹考虑灾害影响程度、范围和防御能力等，综合会商研判并启动响应。</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（1）Ⅳ级应急响应：县指挥办接收信息后，由县指挥办主任签发启动Ⅳ级响应；县指挥办主任坐镇县指挥办指挥，灾害乡（镇）负责人指挥现场处置。</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Ⅲ级应急响应：由县指挥办主任向县指挥部副指挥长（分管副县长）报告，建议县指挥部副指挥长启动Ⅲ级响应，由县指挥部副指挥长签发启动；县指挥部副指挥长坐镇县指挥部指挥，县指挥办主任带工作组现场指导。</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（3）Ⅱ级应急响应：由县指挥办主任向县指挥部指挥长报告，建议县指挥部指挥长启动Ⅱ级响应，由县指挥部指挥长签发启动；县指挥部指挥长坐镇县指挥部指挥，县指挥部副指挥长到现场指挥部靠前指挥。</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（4）Ⅰ级应急响应：县指挥部指挥长向县应急救援总指挥部（以下简称“县总指”）总指挥长报告，建议总指挥长启动Ⅰ级响应；县总指总指挥长坐镇总指挥部指挥，县指挥部指挥长到现场指挥部靠前指挥。</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49" w:name="_Toc14768"/>
      <w:r>
        <w:rPr>
          <w:rFonts w:hint="eastAsia" w:ascii="宋体" w:hAnsi="宋体" w:eastAsia="宋体" w:cs="宋体"/>
        </w:rPr>
        <w:t>6.4  分级响应</w:t>
      </w:r>
      <w:bookmarkEnd w:id="49"/>
    </w:p>
    <w:p>
      <w:pPr>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6.4.1  四级响应</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符合四级响应条件时，经县指挥部办公室会商，由县指挥部办公室主任启动四级响应，视情派出工作组赶赴灾害发生地，指导协调相关工作。重点做好以下工作：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（1）由灾区所在乡（镇）政府主要负责人负责灾区地震应急处置指挥工作。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（2）县指挥部办公室及时掌握灾害乡（镇）地震灾情和救援工作信息，协调抗震救灾应急资源。</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（3）县指挥办视情派出联合工作组赶赴灾害乡（镇），协调指导抗震救灾，县指挥办主任坐镇县指挥部指挥抗震救灾工作。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Cs/>
          <w:sz w:val="32"/>
          <w:szCs w:val="32"/>
        </w:rPr>
        <w:t>县指挥办</w:t>
      </w:r>
      <w:r>
        <w:rPr>
          <w:rFonts w:hint="eastAsia" w:ascii="仿宋_GB2312" w:hAnsi="仿宋_GB2312" w:eastAsia="仿宋_GB2312" w:cs="仿宋_GB2312"/>
          <w:sz w:val="32"/>
          <w:szCs w:val="32"/>
        </w:rPr>
        <w:t>根据应对工作实际需要或下级指挥部请求，做好协调增派专业救援力量、组织调运抗震救灾物资装备等抗震救灾工作。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（5）县指挥部办公室做好扩大地震应急响应的准备。</w:t>
      </w:r>
    </w:p>
    <w:p>
      <w:pPr>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6.4.2  三级响应</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符合三级响应条件时，县指挥办主任向副指挥长报告，由副指挥长启动三级响应。在做好四级响应工作基础上，派出县抗震救灾工作组，落实县指挥部指导意见，全力组织抢险救援。重点做好以下工作：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（1）县指挥部副指挥长组织应急、水利、水文、气象、自然资源、住建、农业农村等成员单位进行会商，会商研判地震灾情和地震趋势，提出工作措施，及时调度指挥。</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（2）县指挥部办公室主任带领工作组赶赴地震灾害发生地，协调指导抢险救援工作，县指挥部副指挥长坐镇县指挥部指导抗震救灾工作。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（3）视情协调增派救援力量，调拨应急抢险救援物资、装备。</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（4）各单位紧密协作，按照县指挥部调度及应急职责做好相关工作。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（5）抢险救援力量协助受影响地区政府开展抢险突击、群众疏散转移工作。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（6）加强震区监测预报，密切监视震情发展，指导做好余震防范工作，开展灾害损失评估和烈度评定工作。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（7）组织统一发布灾情和抗震救灾信息，指导做好抗震救灾宣传报道工作，正确引导舆论。</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（8）视情限制前往灾区旅游，对灾区周边主要道路实施临时交通管制措施。</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（9）县指挥部办公室随时掌握抢险救援进展情况。</w:t>
      </w:r>
    </w:p>
    <w:p>
      <w:pPr>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6.3.3  二级响应</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二级响应条件时，县指挥办主任向县指挥部指挥长报告，由县指挥部指挥长启动二级响应。县指挥部指挥长坐镇县指挥部指挥，副指挥长到现场指挥部靠前指挥；在做好三级响应重点工作基础上，落实县应急救援总指挥部决策部署，全力组织抢险救援。</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（1）县指挥部指挥成员向县指挥部办公室集结，县人民武装部、县应急管理局、水利局、自然资源局、住房和城乡建设局、交通运输局、农业农村局、气象局等单位派员进驻县指挥部开展联合办公。</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（2）县指挥部指挥长在县指挥办组织应急、人武部、水利、水文、气象、自然资源、住建、农业农村、公安、交通运输、卫体局、财政、宣传、武警沁源中队、消防救援等部门会商，</w:t>
      </w:r>
      <w:r>
        <w:rPr>
          <w:rFonts w:hint="eastAsia" w:ascii="仿宋_GB2312" w:hAnsi="仿宋_GB2312" w:eastAsia="仿宋_GB2312" w:cs="仿宋_GB2312"/>
          <w:sz w:val="32"/>
          <w:szCs w:val="32"/>
        </w:rPr>
        <w:t>研判地震灾情和地震趋势，提出工作措施，及时调度指挥。</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（3）县指挥部副指挥长到达现场后靠前指挥，迅速成立现场指挥部及其工作组，开展灾情会商，了解先期救援工作，分析研判</w:t>
      </w:r>
      <w:r>
        <w:rPr>
          <w:rFonts w:hint="eastAsia" w:ascii="仿宋_GB2312" w:hAnsi="仿宋_GB2312" w:eastAsia="仿宋_GB2312" w:cs="仿宋_GB2312"/>
          <w:sz w:val="32"/>
          <w:szCs w:val="32"/>
        </w:rPr>
        <w:t>地震灾情和地震趋势</w:t>
      </w:r>
      <w:r>
        <w:rPr>
          <w:rFonts w:hint="eastAsia" w:ascii="仿宋_GB2312" w:eastAsia="仿宋_GB2312"/>
          <w:sz w:val="32"/>
          <w:szCs w:val="32"/>
        </w:rPr>
        <w:t>，研究制定抢险救援方案，指挥各组迅速开展抢险救援。</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（4）县指挥部根据需要及时调配抢险队伍和应急物资；重点协调医疗救护、疾控防疫、抢险救援、人员安置等应急资源；县水利、自然资源、住建、农村农业等部门按照部门预案开展应急抢险工作。</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（5）县指挥部发布进一步做好抗震救灾工作的通知，督促现场指挥部和灾害乡（镇）按照通知要求抓好县指挥部决策部署的贯彻落实，并将落实情况报县指挥部。</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（6）交通、通信、交通、电力等行业主管部门按照职责分工，广泛调动资源，协调各方力量，全力做好抗震救灾和应急保障工作。</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8）加强信息调度分析，持续做好会商研判。防震救灾中心及时布设或恢复现场地震观测设施，密切监视震情发展，及时与上级防震救灾管理机构汇报研判，指导做好余震防范工作，开展灾害损失评估和烈度评定工作。紧急情况，及时报告，发布预警信息。</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（9）积极协调新闻媒体抗震救援宣传报道，统一发布震情、救援等信息；收集分析舆情，做好宣传报道及舆论引导工作。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（10）对前往灾区及灾区周边主要道路实施临时交通管制措施，抢险救援及物资运输车辆优先通行。</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（11）现场指挥部加强社会救援力量和志愿者自发救援等管理，合理调度发挥效能；对社会物资运送车辆及个人捐赠物资合理安排，及时转运灾区。</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（12）认真贯彻落实上级领导同志指示批示精神及县委、县政府工作要求。</w:t>
      </w:r>
    </w:p>
    <w:p>
      <w:pPr>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6.3.4  一级响应</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一级响应条件时，县指挥部指挥长向县应急救援总指挥长报告，经总指挥部会商，建议总指挥长启动一级响应。县指挥部在县委、县政府的统一领导下，指挥和协调全县抗震救灾工作，在做好二级响应重点工作的基础上，落实省、市工作组指导意见，必要时请求省、市有关部门给予支持。</w:t>
      </w:r>
    </w:p>
    <w:p>
      <w:pPr>
        <w:pStyle w:val="2"/>
        <w:pageBreakBefore w:val="0"/>
        <w:widowControl w:val="0"/>
        <w:kinsoku/>
        <w:wordWrap/>
        <w:overflowPunct/>
        <w:topLinePunct w:val="0"/>
        <w:autoSpaceDE/>
        <w:autoSpaceDN/>
        <w:bidi w:val="0"/>
        <w:spacing w:line="600" w:lineRule="exact"/>
        <w:ind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（1）县总指总指挥长组织县指挥部全体成员会商，</w:t>
      </w:r>
      <w:r>
        <w:rPr>
          <w:rFonts w:hint="eastAsia" w:ascii="仿宋_GB2312" w:hAnsi="仿宋_GB2312" w:eastAsia="仿宋_GB2312" w:cs="仿宋_GB2312"/>
          <w:sz w:val="32"/>
          <w:szCs w:val="32"/>
        </w:rPr>
        <w:t>研判地震灾情和地震趋势，</w:t>
      </w:r>
      <w:r>
        <w:rPr>
          <w:rFonts w:hint="eastAsia" w:ascii="仿宋_GB2312" w:hAnsi="仿宋_GB2312" w:eastAsia="仿宋_GB2312" w:cs="仿宋_GB2312"/>
          <w:bCs/>
          <w:sz w:val="32"/>
          <w:szCs w:val="32"/>
        </w:rPr>
        <w:t>组织动员部署，及时调度指挥；县指挥部指挥长到现场指挥部靠前指挥。</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（2）县总指发布全力做好抗震抢险工作的紧急通知或指挥长令，督促全县企事业单位、乡（镇）、社区按照通知要求抓好贯彻落实，全力参与抗震抢险救援。</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（3）县总指向市防指报告，申请调动市相关抢险队伍帮助救援，请求调动沁源武警中队、民兵预备役支援。</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（4）根据地震灾害严重程度和影响范围，县应急管理、水利、住建、农村农业、自然资源等部门派出工作指导组，组织、指挥、协调、实施指导督促地方做好抗震救灾工作。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（5）交通运输、能源、电力、电信等主管部门按照职责分工，广泛调动资源，协调各方力量，全力做好抢险救灾和应急保障工作。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加强信息调度分析，持续做好会商研判。防震救灾中心及时布设或恢复现场地震观测设施，密切监视震情发展，及时与上级防震救灾管理机构汇报研判，指导做好余震防范工作，开展灾害损失评估和烈度评定工作。紧急情况下，及时报告，发布预警信息。</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（9）县总指适时召开新闻发布会，发布指挥部公告，及时收集舆情信息，加强正面宣传报道和舆论引导，保持社会民心稳定。</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（10）落实市工作组或市抗震救灾指挥部决策部署，全力组织抢险救援。</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50" w:name="_Toc11436"/>
      <w:r>
        <w:rPr>
          <w:rFonts w:hint="eastAsia" w:ascii="宋体" w:hAnsi="宋体" w:eastAsia="宋体" w:cs="宋体"/>
        </w:rPr>
        <w:t>6.4  抢险救援</w:t>
      </w:r>
      <w:bookmarkEnd w:id="50"/>
    </w:p>
    <w:p>
      <w:pPr>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6.4.1基本原则</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（1）抢险救援实行统一指挥、专业力量和社会力量有序联动的应急救援组织运行模式。</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（2）抢险救援坚持属地为主，加强部门协调联动，鼓励社会公众参与。</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（3）抢险救援要树立“人民至上、生命至上”理念；迅速行动，突出避险为要。</w:t>
      </w:r>
    </w:p>
    <w:p>
      <w:pPr>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6.4.2应急措施</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地震灾害可能引发的衍生、次生灾害及其可能造成的后果，结合不同灾害类型和出险情况，可能出现人员受困、大规模人员转移避险、水工程出险、次生地质灾害、重要基础设施受损、危险性工程出险等典型情境。需各部门针对典型情境制定现场处置方案，展开应急抢险。</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（1）人员受困</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楼房建筑、地下商超（车库）、桥梁隧道、地下矿山等因地震倒塌或安全出口封堵造成人员未及时撤离，受困遇险。</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①灾害地立即将人员受困情况报乡（镇）政府或主管部门，县应急管理局组织消防等救援队伍开展应急救援。</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②县指挥部视情况派出工作指导组赶赴前线，指导应急救援工作，调派救援力量支援人员搜救转移工作。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③事发乡（镇）启用应急避险场所安置受灾人员，协调调拨、供应应急物资，向县指挥部汇报人员转移安置情况。</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hAnsiTheme="minorEastAsia"/>
          <w:sz w:val="32"/>
          <w:szCs w:val="32"/>
        </w:rPr>
        <w:t>④排查地下车库、地下大型综合体等地下空间，果断采取临时关停措施。</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（2）大规模人员转移避险</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因持续余震或未来仍有强震需紧急组织大规模人员转移避险或异地安置。</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①灾害乡（镇）指要根据地震预警，落实临震防范措施，提前组织风险区群众做好转移避险准备，果断转移受威胁人员至安全区域妥善安置，务必做到应转尽转、应转早转，并将相关情况及工作开展情况报县指挥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②县指挥部视情派出工作指导组赶赴前线，指导、督促灾害乡（镇）全力做好人员转移避险工作，调派救援力量支援地方做好转移避险和安置工作。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③灾害乡（镇）启用应急避险场所安置受灾群众，协调调拨、供应应急救灾物资。</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④交通运输、公安等部门协助做好交通运输和安全保障。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⑤山丘区要视次生地质灾害预警情况，果断组织危险区人员转移避险，危险解除前严防转出人员擅自返回，确保群众生命安全。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（3）水利工程出险</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强震造成大坝、堤防、水闸等水利工程可能出现或已经出现管涌、漫坝、垮塌、决口、失稳及其他险情，危及到群众生命财产和重要公共设施安全。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hAnsiTheme="minorEastAsia"/>
          <w:sz w:val="32"/>
          <w:szCs w:val="32"/>
        </w:rPr>
        <w:t>①水</w:t>
      </w:r>
      <w:r>
        <w:rPr>
          <w:rFonts w:hint="eastAsia" w:ascii="仿宋_GB2312" w:eastAsia="仿宋_GB2312"/>
          <w:sz w:val="32"/>
          <w:szCs w:val="32"/>
        </w:rPr>
        <w:t>利部门及时排查水利工程受损情况,组织制定现场处置方案，全力做好险情先期处置工作，并及时报县指挥部。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②水利工程管理单位及时通知所属乡（镇）政府转移安置受威胁群众，确保人民群众生命安全。及时向可能遭受影响的周边地区发布警告信息。</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③县指挥部根据险情实际或地方请求，及时派出工作指导组赶赴前线指导抢险救援工作，组织专业抢险队伍赶赴现场开展应急抢险。</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④水利部门组织行业专家做好技术支撑工作；组织调配抢险物资装备。</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⑤消防救援队伍立即组织开展危险地区的遇险群众疏散和营救工作；必要时协调武警沁源中队、民兵预备役等开展危险地区的遇险群众疏散和营救工作。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（4）次生地质灾害</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地震致岩层破碎引发山体崩塌、滑坡、泥石流等次生地质灾害，或形成堰塞湖发生冲毁房屋、田地、道路和桥梁，严重威胁人民群众生命财产安全。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①县应急管理和自然资源部门牵头，排查地质灾害隐患，组织制定现场处置方案。</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②县指挥部派出工作指导组赶赴前线，指导、督促灾害乡（镇）全力做好抗震救灾工作。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③视情设立现场指挥部，全力开展抢险救援救灾工作，督促基层政府做好人员转移。及时向可能遭受影响的周边地区发布预警信息。</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④自然资源部门组织行业专家做好技术支撑工作。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⑤气象和水利、水文部门提供发生山洪地质灾害地区的降雨资料。</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⑥消防救援队伍立即组织开展危险地区的遇险群众疏散和营救工作；必要时协调武警沁源中队、民兵预备役等支援转移安置和险情抢护等工作。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⑦组织通信技术、无人机航拍等协助救援工作，必要时协调空中救援力量参与。</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（5）重要基础设施受损</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因地震破坏造成交通严重受阻，供电、通信、供水、供油（气） 等设施设备严重损毁，水电路气信等生命线系统大范围中断。</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①各行业主管部门分别制定相应的现场处置方案。</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②行业主管部门立即将险情、灾情报告地方党委、政府、县指挥部组织力量开展抢险救灾工作。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③县指挥部视情派出工作指导组赶赴前线，指导、督促地方党委政府全力做好抢险救灾工作，调派救援力量支援地方开展抢险救灾工作。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④交通、通信、水利、电力、石化等部门（单位）根据水电路气信等基础设施中断情况，分别组织行业专家做好技术支撑工作和通信支援。</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（6）危险性工程出险</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因地震破坏造成危险化学品生产储存设备、输油气管道、输配电线路、煤矿、非煤矿山、尾矿库等危险性工程受损出现险情，严重威胁人民群众生命财产安全。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①行业主管部门立即针对危险性工程开展排查，制定相应的现场处置方案，将险情、灾情报告地方政府、县指挥部组织力量开展抢险救灾工作。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③县指挥部视情派出工作指导组赶赴前线，指导、督促、调派救援力量支援地方开展抢险救灾工作。</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④县应急、工信、煤矿、燃气、电力、石化等部门分别组织行业专家做好技术支撑工作</w:t>
      </w:r>
      <w:r>
        <w:rPr>
          <w:rFonts w:hint="eastAsia" w:ascii="仿宋_GB2312" w:eastAsia="仿宋_GB2312"/>
          <w:sz w:val="32"/>
          <w:szCs w:val="32"/>
        </w:rPr>
        <w:t>。</w:t>
      </w:r>
    </w:p>
    <w:p>
      <w:pPr>
        <w:pStyle w:val="2"/>
        <w:pageBreakBefore w:val="0"/>
        <w:widowControl w:val="0"/>
        <w:kinsoku/>
        <w:wordWrap/>
        <w:overflowPunct/>
        <w:topLinePunct w:val="0"/>
        <w:autoSpaceDE/>
        <w:autoSpaceDN/>
        <w:bidi w:val="0"/>
        <w:spacing w:line="600" w:lineRule="exact"/>
        <w:ind w:firstLine="640"/>
        <w:textAlignment w:val="auto"/>
        <w:rPr>
          <w:rFonts w:ascii="仿宋_GB2312" w:eastAsia="仿宋_GB2312"/>
          <w:sz w:val="32"/>
          <w:szCs w:val="32"/>
        </w:rPr>
      </w:pPr>
      <w:r>
        <w:rPr>
          <w:rFonts w:hint="eastAsia" w:ascii="仿宋_GB2312" w:eastAsia="仿宋_GB2312"/>
          <w:sz w:val="32"/>
          <w:szCs w:val="32"/>
        </w:rPr>
        <w:t>⑤消防救援队伍立即组织开展危险地区的遇险群众疏散和营救工作；必要时协调武警沁源中队、民兵预备役等支援转移安置和险情抢护等工作。</w:t>
      </w:r>
    </w:p>
    <w:p>
      <w:pPr>
        <w:pageBreakBefore w:val="0"/>
        <w:widowControl w:val="0"/>
        <w:kinsoku/>
        <w:wordWrap/>
        <w:overflowPunct/>
        <w:topLinePunct w:val="0"/>
        <w:autoSpaceDE/>
        <w:autoSpaceDN/>
        <w:bidi w:val="0"/>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6.4.3实行“五停”措施</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地震预警未解除或地震灾害对我县全域或局部区域造成极其严重影响时，经会商决定在全县范围或局部区域内实行停产、停业、停课、停运、停止集会（“五停”）措施。</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（1）县指挥部发布“五停”指令。通过电视、广播、政务网站、短信、微博、微信公众号等多途径向受影响范围发布实行“五停” 的指令。</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（2）县指挥部、各成员单位严格落</w:t>
      </w:r>
      <w:r>
        <w:rPr>
          <w:rFonts w:hint="eastAsia" w:ascii="仿宋_GB2312" w:hAnsi="仿宋_GB2312" w:eastAsia="仿宋_GB2312" w:cs="仿宋_GB2312"/>
          <w:sz w:val="32"/>
          <w:szCs w:val="32"/>
          <w:highlight w:val="none"/>
        </w:rPr>
        <w:t>实各项防</w:t>
      </w:r>
      <w:r>
        <w:rPr>
          <w:rFonts w:hint="eastAsia" w:ascii="仿宋_GB2312" w:hAnsi="仿宋_GB2312" w:eastAsia="仿宋_GB2312" w:cs="仿宋_GB2312"/>
          <w:sz w:val="32"/>
          <w:szCs w:val="32"/>
          <w:highlight w:val="none"/>
          <w:lang w:eastAsia="zh-CN"/>
        </w:rPr>
        <w:t>震</w:t>
      </w:r>
      <w:r>
        <w:rPr>
          <w:rFonts w:hint="eastAsia" w:ascii="仿宋_GB2312" w:hAnsi="仿宋_GB2312" w:eastAsia="仿宋_GB2312" w:cs="仿宋_GB2312"/>
          <w:sz w:val="32"/>
          <w:szCs w:val="32"/>
          <w:highlight w:val="none"/>
        </w:rPr>
        <w:t>措施。</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（3）县指挥部对全县或局部区域实行“五停”措施的相关信息及时报告市防指。</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（4）各行业主管部门组织实施本行业“五停”相关措施，相关信息及时报告县指挥部。</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（5）指导承担抢险救灾和保障社会基本运行任务的单位落实安全防护措施。</w:t>
      </w:r>
    </w:p>
    <w:p>
      <w:pPr>
        <w:pStyle w:val="10"/>
        <w:pageBreakBefore w:val="0"/>
        <w:widowControl w:val="0"/>
        <w:kinsoku/>
        <w:wordWrap/>
        <w:overflowPunct/>
        <w:topLinePunct w:val="0"/>
        <w:autoSpaceDE/>
        <w:autoSpaceDN/>
        <w:bidi w:val="0"/>
        <w:spacing w:before="0" w:beforeAutospacing="0" w:after="0" w:afterAutospacing="0" w:line="60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6.4.4救援结束</w:t>
      </w:r>
    </w:p>
    <w:p>
      <w:pPr>
        <w:pStyle w:val="10"/>
        <w:pageBreakBefore w:val="0"/>
        <w:widowControl w:val="0"/>
        <w:kinsoku/>
        <w:wordWrap/>
        <w:overflowPunct/>
        <w:topLinePunct w:val="0"/>
        <w:autoSpaceDE/>
        <w:autoSpaceDN/>
        <w:bidi w:val="0"/>
        <w:spacing w:before="0" w:beforeAutospacing="0" w:after="0" w:afterAutospacing="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当突发险情、灾情得到有效控制或人员得以安全解救时，市防指适时结束应急抢险救援工作。</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51" w:name="_Toc19540"/>
      <w:r>
        <w:rPr>
          <w:rFonts w:hint="eastAsia" w:ascii="宋体" w:hAnsi="宋体" w:eastAsia="宋体" w:cs="宋体"/>
        </w:rPr>
        <w:t>6.5  响应调整</w:t>
      </w:r>
      <w:bookmarkEnd w:id="51"/>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县指挥部或县指挥部办公室依据灾情变化，结合实际调整响应级别。</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52" w:name="_Toc27574"/>
      <w:r>
        <w:rPr>
          <w:rFonts w:hint="eastAsia" w:ascii="宋体" w:hAnsi="宋体" w:eastAsia="宋体" w:cs="宋体"/>
        </w:rPr>
        <w:t>6.6  响应结束</w:t>
      </w:r>
      <w:bookmarkEnd w:id="52"/>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当符合下列条件时,县指挥部可视情宣布应急响应结束。</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在抢险救灾工作基本结束；</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（2）紧急转移和安置工作基本完成；</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（3）地震次生灾害的后果基本消除，以及交通、电力、通信、广播电视和供水等基本抢修抢通；</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（4）灾区生活秩序基本恢复后。</w:t>
      </w:r>
    </w:p>
    <w:p>
      <w:pPr>
        <w:pStyle w:val="3"/>
        <w:pageBreakBefore w:val="0"/>
        <w:widowControl w:val="0"/>
        <w:kinsoku/>
        <w:wordWrap/>
        <w:overflowPunct/>
        <w:topLinePunct w:val="0"/>
        <w:autoSpaceDE/>
        <w:autoSpaceDN/>
        <w:bidi w:val="0"/>
        <w:spacing w:before="120" w:after="120" w:line="600" w:lineRule="exact"/>
        <w:ind w:firstLine="643" w:firstLineChars="200"/>
        <w:textAlignment w:val="auto"/>
        <w:rPr>
          <w:rFonts w:ascii="宋体" w:hAnsi="宋体" w:eastAsia="宋体" w:cs="宋体"/>
          <w:sz w:val="32"/>
          <w:szCs w:val="32"/>
        </w:rPr>
      </w:pPr>
      <w:bookmarkStart w:id="53" w:name="_Toc6638"/>
      <w:r>
        <w:rPr>
          <w:rFonts w:hint="eastAsia" w:ascii="宋体" w:hAnsi="宋体" w:eastAsia="宋体" w:cs="宋体"/>
          <w:sz w:val="32"/>
          <w:szCs w:val="32"/>
        </w:rPr>
        <w:t>7  后期处置</w:t>
      </w:r>
      <w:bookmarkEnd w:id="53"/>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54" w:name="_Toc5083"/>
      <w:r>
        <w:rPr>
          <w:rFonts w:hint="eastAsia" w:ascii="宋体" w:hAnsi="宋体" w:eastAsia="宋体" w:cs="宋体"/>
        </w:rPr>
        <w:t>7.1  调查评估</w:t>
      </w:r>
      <w:bookmarkEnd w:id="54"/>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急管理部门依据有关规定，组织有关部门组成调查评估组开展地震调查评估，评估报告同时上报县委、县政府。调查评估报告内容包括地震发生经过、灾害类型和规模、灾害成因、应急响应、人员伤亡、灾情损失、经验教训、改进措施等。</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55" w:name="_Toc23369"/>
      <w:r>
        <w:rPr>
          <w:rFonts w:hint="eastAsia" w:ascii="宋体" w:hAnsi="宋体" w:eastAsia="宋体" w:cs="宋体"/>
        </w:rPr>
        <w:t>7.2  工作总结</w:t>
      </w:r>
      <w:bookmarkEnd w:id="55"/>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急救援工作结束后，指挥部要对本次地震应急响应过程中协调指挥、组织实施、预案执行等情况进行总结，找出短板，弥补不足，进行完善；参加抢险救援的各有关单位须认真总结抢险救灾工作，查找部门预案和现场处置方案中的不足之处，制定改进措施，并以书面形式上报指挥部办公室。</w:t>
      </w:r>
    </w:p>
    <w:p>
      <w:pPr>
        <w:pStyle w:val="3"/>
        <w:pageBreakBefore w:val="0"/>
        <w:widowControl w:val="0"/>
        <w:kinsoku/>
        <w:wordWrap/>
        <w:overflowPunct/>
        <w:topLinePunct w:val="0"/>
        <w:autoSpaceDE/>
        <w:autoSpaceDN/>
        <w:bidi w:val="0"/>
        <w:spacing w:before="120" w:after="120" w:line="600" w:lineRule="exact"/>
        <w:ind w:firstLine="643" w:firstLineChars="200"/>
        <w:textAlignment w:val="auto"/>
        <w:rPr>
          <w:rFonts w:ascii="宋体" w:hAnsi="宋体" w:eastAsia="宋体" w:cs="宋体"/>
          <w:sz w:val="32"/>
          <w:szCs w:val="32"/>
        </w:rPr>
      </w:pPr>
      <w:bookmarkStart w:id="56" w:name="_Toc23699"/>
      <w:r>
        <w:rPr>
          <w:rFonts w:hint="eastAsia" w:ascii="宋体" w:hAnsi="宋体" w:eastAsia="宋体" w:cs="宋体"/>
          <w:sz w:val="32"/>
          <w:szCs w:val="32"/>
        </w:rPr>
        <w:t>8  恢复重建</w:t>
      </w:r>
      <w:bookmarkEnd w:id="56"/>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57" w:name="_Toc11368"/>
      <w:r>
        <w:rPr>
          <w:rFonts w:hint="eastAsia" w:ascii="宋体" w:hAnsi="宋体" w:eastAsia="宋体" w:cs="宋体"/>
        </w:rPr>
        <w:t>8.1  恢复重建规划</w:t>
      </w:r>
      <w:bookmarkEnd w:id="57"/>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重大地震灾害灾后恢复重建规划由县政府组织编制或参与编制。按程序组建灾后恢复重建指导协调小组，负责研究解决恢复重建中的重大问题，指导恢复重建工作；较大、一般地震灾害灾后恢复重建规划由县政府根据实际工作需要组织编制或指导乡（镇）政府编制。 </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58" w:name="_Toc29309"/>
      <w:r>
        <w:rPr>
          <w:rFonts w:hint="eastAsia" w:ascii="宋体" w:hAnsi="宋体" w:eastAsia="宋体" w:cs="宋体"/>
        </w:rPr>
        <w:t>8.2  恢复重建实施</w:t>
      </w:r>
      <w:bookmarkEnd w:id="58"/>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灾区乡（镇）人民政府应当根据灾后恢复重建规划和当地经济社会发展水平，有计划、分步骤组织实施本行政区域灾后恢复重建。</w:t>
      </w:r>
    </w:p>
    <w:p>
      <w:pPr>
        <w:pStyle w:val="3"/>
        <w:pageBreakBefore w:val="0"/>
        <w:widowControl w:val="0"/>
        <w:kinsoku/>
        <w:wordWrap/>
        <w:overflowPunct/>
        <w:topLinePunct w:val="0"/>
        <w:autoSpaceDE/>
        <w:autoSpaceDN/>
        <w:bidi w:val="0"/>
        <w:spacing w:before="120" w:after="120" w:line="600" w:lineRule="exact"/>
        <w:ind w:firstLine="643" w:firstLineChars="200"/>
        <w:textAlignment w:val="auto"/>
        <w:rPr>
          <w:rFonts w:ascii="宋体" w:hAnsi="宋体" w:eastAsia="宋体" w:cs="宋体"/>
          <w:sz w:val="32"/>
          <w:szCs w:val="32"/>
        </w:rPr>
      </w:pPr>
      <w:bookmarkStart w:id="59" w:name="_Toc11636"/>
      <w:r>
        <w:rPr>
          <w:rFonts w:hint="eastAsia" w:ascii="宋体" w:hAnsi="宋体" w:eastAsia="宋体" w:cs="宋体"/>
          <w:sz w:val="32"/>
          <w:szCs w:val="32"/>
        </w:rPr>
        <w:t>9  应急保障</w:t>
      </w:r>
      <w:bookmarkEnd w:id="59"/>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60" w:name="_Toc2839"/>
      <w:r>
        <w:rPr>
          <w:rFonts w:hint="eastAsia" w:ascii="宋体" w:hAnsi="宋体" w:eastAsia="宋体" w:cs="宋体"/>
        </w:rPr>
        <w:t>9.1  队伍保障</w:t>
      </w:r>
      <w:bookmarkEnd w:id="60"/>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震灾害救援队伍以县消防救援大队为主力，医学救援队为专业力量，武警沁源中队为突击力量，县矿山救援、森林救援及社会救援队等专业抢险救灾队伍为辅助力量。各乡（镇）人民政府应加强救援队伍建设，配备必要的物资装备，经常性开展协同演练，提高共同应对地震灾害的能力。城市供水、供电、供气等生命线工程设施产权单位、管理或者生产经营单位加强抢险抢修队伍建设。</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社区组织动员社会各方面力量，建立基层地震抢险救灾队伍，加强日常管理和培训。各有关单位发挥共青团和志愿者作用，依托社会团体、企事业单位及社区建立地震应急救援志愿者队伍，形成广泛参与地震应急救援的社会动员机制。</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应急管理、财政部门加强灾害信息员队伍建设，强化队伍管理和工作保障，为灾情统计报送、评估核查等提供支撑。</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急管理（县防震减灾中心）加强地震应急专家队伍建设，为应急指挥辅助决策、地震监测和趋势判断、地震灾害紧急救援、灾害损失评估、地震烈度考察、房屋安全鉴定等提供人才保障。县防震减灾中心通过市防震减灾中心、省地震局提供技术加强地震监测、地震预测、地震区划、应急处置技术、搜索与营救、建筑物抗震技术等方面的研究。</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61" w:name="_Toc25606"/>
      <w:r>
        <w:rPr>
          <w:rFonts w:hint="eastAsia" w:ascii="宋体" w:hAnsi="宋体" w:eastAsia="宋体" w:cs="宋体"/>
        </w:rPr>
        <w:t>9.2  指挥平台保障</w:t>
      </w:r>
      <w:bookmarkEnd w:id="61"/>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急管理部门综合利用自动监测、通信、计算机、遥感等技术，建立健全应急指挥信息系统，形成上下贯通、反应灵敏、功能完善、统一高效的应急指挥平台，实现震情灾情快速响应、应急指挥科学决策、灾害损失快速评估与动态跟踪、地震趋势判断的快速反馈，保障指挥部在抗震救灾中进行合理调度、科学决策和准确指挥。</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62" w:name="_Toc27494"/>
      <w:r>
        <w:rPr>
          <w:rFonts w:hint="eastAsia" w:ascii="宋体" w:hAnsi="宋体" w:eastAsia="宋体" w:cs="宋体"/>
        </w:rPr>
        <w:t>9.3  物资与资金保障</w:t>
      </w:r>
      <w:bookmarkEnd w:id="62"/>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应急管理局、乡（镇）人民政府根据有关法律法规，做好应急物资储备工作，保障应急物资、生活必需品和应急处置装备供给。县应急管理局应建立健全应急物资储备调拨及紧急配送体系，保障地震灾害应急工作所需生活救助物资和地震救援、监测预警、现场调查、人员防护、应急通信、通信指挥、战勤保障、工程抢险装备、医疗器械和药品等的供应。</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县财政局负责落实启动县级响应时经县指挥部调用发生的抢险救援、紧急医学救援、调查评估等工作费用。</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63" w:name="_Toc10159"/>
      <w:r>
        <w:rPr>
          <w:rFonts w:hint="eastAsia" w:ascii="宋体" w:hAnsi="宋体" w:eastAsia="宋体" w:cs="宋体"/>
        </w:rPr>
        <w:t>9.4  应急避难场所保障</w:t>
      </w:r>
      <w:bookmarkEnd w:id="63"/>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县应急管理局要利用符合条件的广场、公园、学校操场、体育场馆等公共设施，因地制宜设立符合相关标准的应急避难场所，统筹安排所必需的交通、通信、供水、供电、排污、环保、物资储备等设备设施。</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校、医院、影剧院、商场、酒店、体育场馆等人员密集场所设置应急疏散通道，配备必要的救生避险设施，保证通道、出口的畅通。有关单位定期检测、维护报警装置和应急救援设施，使其处于良好状态，确保正常使用。</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64" w:name="_Toc8397"/>
      <w:r>
        <w:rPr>
          <w:rFonts w:hint="eastAsia" w:ascii="宋体" w:hAnsi="宋体" w:eastAsia="宋体" w:cs="宋体"/>
        </w:rPr>
        <w:t>9.5  基础设施保障</w:t>
      </w:r>
      <w:bookmarkEnd w:id="64"/>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工信</w:t>
      </w:r>
      <w:r>
        <w:rPr>
          <w:rFonts w:hint="eastAsia" w:ascii="仿宋_GB2312" w:hAnsi="仿宋_GB2312" w:eastAsia="仿宋_GB2312" w:cs="仿宋_GB2312"/>
          <w:sz w:val="32"/>
          <w:szCs w:val="32"/>
        </w:rPr>
        <w:t xml:space="preserve">局建立健全应急通信工作体系，建立有线和无线相结合、基础通信网络与机动通信系统相配套的应急通信保障系统，确保地震应急救援工作的通信畅通。在基础通信网络等基础设施遭到严重损毁且短时间难以修复的极端情况下，立即启动应急通信系统和终端设备，确保应急通信手段有效、畅通。 </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县发改局、县能源局指导、协调、监督电力运营企业加强电力基础设施、电力调度系统建设，保障地震现场应急装备的临时供电</w:t>
      </w:r>
      <w:r>
        <w:rPr>
          <w:rFonts w:hint="eastAsia" w:ascii="仿宋_GB2312" w:hAnsi="仿宋_GB2312" w:eastAsia="仿宋_GB2312" w:cs="仿宋_GB2312"/>
          <w:sz w:val="32"/>
          <w:szCs w:val="32"/>
          <w:highlight w:val="none"/>
        </w:rPr>
        <w:t>需求和灾区电力供应。</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县公安局、县交通局、</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sz w:val="32"/>
          <w:szCs w:val="32"/>
          <w:highlight w:val="none"/>
        </w:rPr>
        <w:t>公路</w:t>
      </w:r>
      <w:r>
        <w:rPr>
          <w:rFonts w:hint="eastAsia" w:ascii="仿宋_GB2312" w:hAnsi="仿宋_GB2312" w:eastAsia="仿宋_GB2312" w:cs="仿宋_GB2312"/>
          <w:sz w:val="32"/>
          <w:szCs w:val="32"/>
          <w:highlight w:val="none"/>
          <w:lang w:eastAsia="zh-CN"/>
        </w:rPr>
        <w:t>段应联合建立</w:t>
      </w:r>
      <w:r>
        <w:rPr>
          <w:rFonts w:hint="eastAsia" w:ascii="仿宋_GB2312" w:hAnsi="仿宋_GB2312" w:eastAsia="仿宋_GB2312" w:cs="仿宋_GB2312"/>
          <w:sz w:val="32"/>
          <w:szCs w:val="32"/>
          <w:highlight w:val="none"/>
        </w:rPr>
        <w:t>紧急运输保障体系,加</w:t>
      </w:r>
      <w:r>
        <w:rPr>
          <w:rFonts w:hint="eastAsia" w:ascii="仿宋_GB2312" w:hAnsi="仿宋_GB2312" w:eastAsia="仿宋_GB2312" w:cs="仿宋_GB2312"/>
          <w:sz w:val="32"/>
          <w:szCs w:val="32"/>
        </w:rPr>
        <w:t>强统一指挥调度，采取必要的交通管制措施，建立应急救援“绿色通道”机制。</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县气象局及时发布气象灾害预警信息。</w:t>
      </w:r>
    </w:p>
    <w:p>
      <w:pPr>
        <w:pStyle w:val="3"/>
        <w:pageBreakBefore w:val="0"/>
        <w:widowControl w:val="0"/>
        <w:kinsoku/>
        <w:wordWrap/>
        <w:overflowPunct/>
        <w:topLinePunct w:val="0"/>
        <w:autoSpaceDE/>
        <w:autoSpaceDN/>
        <w:bidi w:val="0"/>
        <w:spacing w:before="120" w:after="120" w:line="600" w:lineRule="exact"/>
        <w:ind w:firstLine="643" w:firstLineChars="200"/>
        <w:textAlignment w:val="auto"/>
        <w:rPr>
          <w:rFonts w:ascii="宋体" w:hAnsi="宋体" w:eastAsia="宋体" w:cs="宋体"/>
          <w:sz w:val="32"/>
          <w:szCs w:val="32"/>
        </w:rPr>
      </w:pPr>
      <w:bookmarkStart w:id="65" w:name="_Toc31734"/>
      <w:r>
        <w:rPr>
          <w:rFonts w:hint="eastAsia" w:ascii="宋体" w:hAnsi="宋体" w:eastAsia="宋体" w:cs="宋体"/>
          <w:sz w:val="32"/>
          <w:szCs w:val="32"/>
        </w:rPr>
        <w:t>10  附则</w:t>
      </w:r>
      <w:bookmarkEnd w:id="65"/>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66" w:name="_Toc26014"/>
      <w:r>
        <w:rPr>
          <w:rFonts w:hint="eastAsia" w:ascii="宋体" w:hAnsi="宋体" w:eastAsia="宋体" w:cs="宋体"/>
        </w:rPr>
        <w:t>10.1  奖励与责任</w:t>
      </w:r>
      <w:bookmarkEnd w:id="66"/>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在抗震救灾工作中作出突出贡献的先进集体和个人，按照国家有关规定给予表彰和奖励；对在抗震救灾工作中玩忽职守造成损失的，严重虚报、瞒报灾情的，依据国家有关法律法规追究当事人的责任，构成犯罪的，依法追究其刑事责任。</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67" w:name="_Toc2859"/>
      <w:r>
        <w:rPr>
          <w:rFonts w:hint="eastAsia" w:ascii="宋体" w:hAnsi="宋体" w:eastAsia="宋体" w:cs="宋体"/>
        </w:rPr>
        <w:t>10.2  宣传、培训与演练</w:t>
      </w:r>
      <w:bookmarkEnd w:id="67"/>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宣传、教育、文旅、应急管理、共青团、红十字会等部门密切配合，开展防震减灾科学、法律知识普及和宣传教育，动员社会公众积极参与防震减灾活动，提高全社会防震避险和自救互救能力。学校把防震减灾知识教育纳入教学内容，加强防震减灾专业人才培养，教育、地震等部门加强指导和监督。</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县应急管理局应建立健全地震应急管理培训制度，结合本县实际，组织应急管理人员、救援人员、志愿者等进行地震应急知识和技能培训。</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县政府及其有关部门要制定演练计划并定期组织开展地震应急演练。机关、学校、医院、企事业单位和居委会、村委会、基层组织等，要结合实际开展地震应急演练。</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68" w:name="_Toc14121"/>
      <w:r>
        <w:rPr>
          <w:rFonts w:hint="eastAsia" w:ascii="宋体" w:hAnsi="宋体" w:eastAsia="宋体" w:cs="宋体"/>
        </w:rPr>
        <w:t>10.3  预案管理与更新</w:t>
      </w:r>
      <w:bookmarkEnd w:id="68"/>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预案实施后，县应急管理局会同有关部门组织预案宣传、培训和演练，并根据实际情况，适时组织修订完善本预案。</w:t>
      </w:r>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乡（镇）人民政府制订本行政区域地震应急预案，报县应急管理部门备案。有关部门结合本部门职能制订地震应急预案或包括抗震救灾内容的应急预案，报县应急管理部门备案。交通、铁路、水利、电力、通信、广播电视等基础设施的经营管理单位和学校、医院，以及可能发生次生灾害的矿山、危险物品生产经营等单位制订地震应急预案或包括抗震救灾内容的应急预案，报县应急管理部门备案。</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69" w:name="_Toc20653"/>
      <w:r>
        <w:rPr>
          <w:rFonts w:hint="eastAsia" w:ascii="宋体" w:hAnsi="宋体" w:eastAsia="宋体" w:cs="宋体"/>
        </w:rPr>
        <w:t>10.4  预案解释</w:t>
      </w:r>
      <w:bookmarkEnd w:id="69"/>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本预案由县应急管理局负责解释。</w:t>
      </w:r>
    </w:p>
    <w:p>
      <w:pPr>
        <w:pStyle w:val="4"/>
        <w:pageBreakBefore w:val="0"/>
        <w:widowControl w:val="0"/>
        <w:kinsoku/>
        <w:wordWrap/>
        <w:overflowPunct/>
        <w:topLinePunct w:val="0"/>
        <w:autoSpaceDE/>
        <w:autoSpaceDN/>
        <w:bidi w:val="0"/>
        <w:spacing w:line="600" w:lineRule="exact"/>
        <w:ind w:firstLine="643" w:firstLineChars="200"/>
        <w:textAlignment w:val="auto"/>
        <w:rPr>
          <w:rFonts w:ascii="宋体" w:hAnsi="宋体" w:eastAsia="宋体" w:cs="宋体"/>
        </w:rPr>
      </w:pPr>
      <w:bookmarkStart w:id="70" w:name="_Toc4441"/>
      <w:r>
        <w:rPr>
          <w:rFonts w:hint="eastAsia" w:ascii="宋体" w:hAnsi="宋体" w:eastAsia="宋体" w:cs="宋体"/>
        </w:rPr>
        <w:t>10.5  预案发布</w:t>
      </w:r>
      <w:bookmarkEnd w:id="70"/>
    </w:p>
    <w:p>
      <w:pPr>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本预案自印发之日起实施。2015年9月30日印发的《沁源县地震应急预案》（沁政办发〔2015〕74号）同时废止。</w:t>
      </w:r>
    </w:p>
    <w:p>
      <w:pPr>
        <w:pStyle w:val="3"/>
        <w:spacing w:before="120" w:after="120" w:line="560" w:lineRule="exact"/>
        <w:ind w:firstLine="643" w:firstLineChars="200"/>
        <w:rPr>
          <w:rFonts w:ascii="宋体" w:hAnsi="宋体" w:eastAsia="宋体" w:cs="宋体"/>
          <w:sz w:val="32"/>
          <w:szCs w:val="32"/>
        </w:rPr>
      </w:pPr>
      <w:bookmarkStart w:id="71" w:name="_Toc13983"/>
      <w:bookmarkStart w:id="72" w:name="_Toc3130"/>
      <w:r>
        <w:rPr>
          <w:rFonts w:hint="eastAsia" w:ascii="宋体" w:hAnsi="宋体" w:eastAsia="宋体" w:cs="宋体"/>
          <w:sz w:val="32"/>
          <w:szCs w:val="32"/>
        </w:rPr>
        <w:t>11  附件</w:t>
      </w:r>
      <w:bookmarkEnd w:id="71"/>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11.1沁源县地震灾害应急响应示意图</w:t>
      </w:r>
      <w:bookmarkEnd w:id="72"/>
    </w:p>
    <w:p>
      <w:pPr>
        <w:spacing w:line="540" w:lineRule="exact"/>
        <w:ind w:firstLine="640" w:firstLineChars="200"/>
        <w:rPr>
          <w:rFonts w:ascii="仿宋_GB2312" w:hAnsi="仿宋_GB2312" w:eastAsia="仿宋_GB2312" w:cs="仿宋_GB2312"/>
          <w:sz w:val="32"/>
          <w:szCs w:val="32"/>
        </w:rPr>
      </w:pPr>
      <w:bookmarkStart w:id="73" w:name="_Toc28664"/>
      <w:r>
        <w:rPr>
          <w:rFonts w:hint="eastAsia" w:ascii="仿宋_GB2312" w:hAnsi="仿宋_GB2312" w:eastAsia="仿宋_GB2312" w:cs="仿宋_GB2312"/>
          <w:sz w:val="32"/>
          <w:szCs w:val="32"/>
        </w:rPr>
        <w:t>11.2沁源县抗震救灾</w:t>
      </w:r>
      <w:bookmarkEnd w:id="73"/>
      <w:r>
        <w:rPr>
          <w:rFonts w:hint="eastAsia" w:ascii="仿宋_GB2312" w:hAnsi="仿宋_GB2312" w:eastAsia="仿宋_GB2312" w:cs="仿宋_GB2312"/>
          <w:sz w:val="32"/>
          <w:szCs w:val="32"/>
        </w:rPr>
        <w:t>指挥部成员单位联系方式</w:t>
      </w:r>
    </w:p>
    <w:p>
      <w:pPr>
        <w:spacing w:line="540" w:lineRule="exact"/>
        <w:ind w:firstLine="640" w:firstLineChars="200"/>
        <w:rPr>
          <w:rFonts w:ascii="仿宋_GB2312" w:hAnsi="仿宋_GB2312" w:eastAsia="仿宋_GB2312" w:cs="仿宋_GB2312"/>
          <w:sz w:val="32"/>
          <w:szCs w:val="32"/>
        </w:rPr>
      </w:pPr>
      <w:bookmarkStart w:id="74" w:name="_Toc7114"/>
      <w:r>
        <w:rPr>
          <w:rFonts w:hint="eastAsia" w:ascii="仿宋_GB2312" w:hAnsi="仿宋_GB2312" w:eastAsia="仿宋_GB2312" w:cs="仿宋_GB2312"/>
          <w:sz w:val="32"/>
          <w:szCs w:val="32"/>
        </w:rPr>
        <w:t>11.3</w:t>
      </w:r>
      <w:bookmarkEnd w:id="74"/>
      <w:r>
        <w:rPr>
          <w:rFonts w:hint="eastAsia" w:ascii="仿宋_GB2312" w:hAnsi="仿宋_GB2312" w:eastAsia="仿宋_GB2312" w:cs="仿宋_GB2312"/>
          <w:sz w:val="32"/>
          <w:szCs w:val="32"/>
        </w:rPr>
        <w:t>沁源县抗震救灾指挥机构及职责</w:t>
      </w:r>
    </w:p>
    <w:p>
      <w:pPr>
        <w:spacing w:line="540" w:lineRule="exact"/>
        <w:ind w:firstLine="640" w:firstLineChars="200"/>
        <w:rPr>
          <w:rFonts w:ascii="仿宋_GB2312" w:hAnsi="仿宋_GB2312" w:eastAsia="仿宋_GB2312" w:cs="仿宋_GB2312"/>
          <w:sz w:val="32"/>
          <w:szCs w:val="32"/>
        </w:rPr>
      </w:pPr>
      <w:bookmarkStart w:id="75" w:name="_Toc21216"/>
      <w:r>
        <w:rPr>
          <w:rFonts w:hint="eastAsia" w:ascii="仿宋_GB2312" w:hAnsi="仿宋_GB2312" w:eastAsia="仿宋_GB2312" w:cs="仿宋_GB2312"/>
          <w:sz w:val="32"/>
          <w:szCs w:val="32"/>
        </w:rPr>
        <w:t>11.4</w:t>
      </w:r>
      <w:bookmarkEnd w:id="75"/>
      <w:r>
        <w:rPr>
          <w:rFonts w:hint="eastAsia" w:ascii="仿宋_GB2312" w:hAnsi="仿宋_GB2312" w:eastAsia="仿宋_GB2312" w:cs="仿宋_GB2312"/>
          <w:sz w:val="32"/>
          <w:szCs w:val="32"/>
        </w:rPr>
        <w:t>地震灾害分级表</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11.5县级地震灾害应急响应对应表</w:t>
      </w: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hint="eastAsia" w:eastAsia="仿宋_GB2312"/>
        </w:rPr>
      </w:pPr>
    </w:p>
    <w:p>
      <w:pPr>
        <w:pStyle w:val="2"/>
        <w:spacing w:line="540" w:lineRule="exact"/>
        <w:ind w:firstLine="560"/>
        <w:rPr>
          <w:rFonts w:eastAsia="仿宋_GB2312"/>
        </w:rPr>
      </w:pPr>
    </w:p>
    <w:p>
      <w:pPr>
        <w:pStyle w:val="4"/>
        <w:spacing w:line="560" w:lineRule="exact"/>
        <w:jc w:val="center"/>
        <w:rPr>
          <w:rFonts w:hint="eastAsia" w:ascii="宋体" w:hAnsi="宋体" w:eastAsia="宋体" w:cs="宋体"/>
        </w:rPr>
      </w:pPr>
      <w:bookmarkStart w:id="76" w:name="_Toc9244"/>
      <w:r>
        <w:rPr>
          <w:rFonts w:hint="eastAsia" w:ascii="宋体" w:hAnsi="宋体" w:eastAsia="宋体" w:cs="宋体"/>
        </w:rPr>
        <w:t>11.1沁源县地震灾害应急响应示意图</w:t>
      </w:r>
      <w:bookmarkEnd w:id="76"/>
    </w:p>
    <w:p>
      <w:pPr>
        <w:rPr>
          <w:rFonts w:hint="eastAsia"/>
        </w:rPr>
      </w:pPr>
    </w:p>
    <w:p>
      <w:pPr>
        <w:pStyle w:val="2"/>
        <w:ind w:firstLine="560"/>
        <w:rPr>
          <w:rFonts w:hint="eastAsia"/>
        </w:rPr>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38735</wp:posOffset>
            </wp:positionV>
            <wp:extent cx="5762625" cy="7391400"/>
            <wp:effectExtent l="19050" t="0" r="9525" b="0"/>
            <wp:wrapNone/>
            <wp:docPr id="2" name="图片 1" descr="I:\沁源县应急预案\沁源县预案\沁源预案7.20\新建 DOCX 文档 _2_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沁源县应急预案\沁源县预案\沁源预案7.20\新建 DOCX 文档 _2_ - 副本.jpg"/>
                    <pic:cNvPicPr>
                      <a:picLocks noChangeAspect="1" noChangeArrowheads="1"/>
                    </pic:cNvPicPr>
                  </pic:nvPicPr>
                  <pic:blipFill>
                    <a:blip r:embed="rId10" cstate="print"/>
                    <a:srcRect/>
                    <a:stretch>
                      <a:fillRect/>
                    </a:stretch>
                  </pic:blipFill>
                  <pic:spPr>
                    <a:xfrm>
                      <a:off x="0" y="0"/>
                      <a:ext cx="5762625" cy="7391400"/>
                    </a:xfrm>
                    <a:prstGeom prst="rect">
                      <a:avLst/>
                    </a:prstGeom>
                    <a:noFill/>
                    <a:ln w="9525">
                      <a:noFill/>
                      <a:miter lim="800000"/>
                      <a:headEnd/>
                      <a:tailEnd/>
                    </a:ln>
                  </pic:spPr>
                </pic:pic>
              </a:graphicData>
            </a:graphic>
          </wp:anchor>
        </w:drawing>
      </w: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rPr>
          <w:rFonts w:hint="eastAsia"/>
        </w:rPr>
      </w:pPr>
    </w:p>
    <w:p>
      <w:pPr>
        <w:pStyle w:val="2"/>
        <w:ind w:firstLine="560"/>
      </w:pPr>
    </w:p>
    <w:p>
      <w:pPr>
        <w:pStyle w:val="4"/>
        <w:spacing w:line="560" w:lineRule="exact"/>
        <w:jc w:val="center"/>
        <w:rPr>
          <w:rFonts w:ascii="宋体" w:hAnsi="宋体" w:eastAsia="宋体" w:cs="宋体"/>
        </w:rPr>
      </w:pPr>
      <w:bookmarkStart w:id="77" w:name="_Toc20288"/>
      <w:bookmarkStart w:id="78" w:name="_Toc18984"/>
      <w:r>
        <w:rPr>
          <w:rFonts w:hint="eastAsia" w:ascii="宋体" w:hAnsi="宋体" w:eastAsia="宋体" w:cs="宋体"/>
        </w:rPr>
        <w:t>11.2沁源县抗震救灾</w:t>
      </w:r>
      <w:bookmarkEnd w:id="77"/>
      <w:r>
        <w:rPr>
          <w:rFonts w:hint="eastAsia" w:ascii="宋体" w:hAnsi="宋体" w:eastAsia="宋体" w:cs="宋体"/>
        </w:rPr>
        <w:t>指挥部成员单位联系方式</w:t>
      </w:r>
      <w:bookmarkEnd w:id="78"/>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843"/>
        <w:gridCol w:w="241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单   位</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应急电话</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单  位</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应急电话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县委宣传部</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0355-7832158</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县气象局</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县政府办公室</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0355-7832129</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县公路段</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0355-7849127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县应急管理局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0355-7832469</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县教育局</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县人民武装部</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0355-4242640</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县水利局</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县公安局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0355-7845146</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县文化和旅游局</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asciiTheme="minorEastAsia" w:hAnsiTheme="minorEastAsia"/>
                <w:color w:val="000000"/>
                <w:sz w:val="24"/>
                <w:szCs w:val="24"/>
                <w:lang w:eastAsia="zh-CN"/>
              </w:rPr>
              <w:t>0355</w:t>
            </w:r>
            <w:r>
              <w:rPr>
                <w:rFonts w:hint="eastAsia" w:asciiTheme="minorEastAsia" w:hAnsiTheme="minorEastAsia"/>
                <w:color w:val="000000"/>
                <w:sz w:val="24"/>
                <w:szCs w:val="24"/>
                <w:lang w:eastAsia="zh-CN"/>
              </w:rPr>
              <w:t>-</w:t>
            </w:r>
            <w:r>
              <w:rPr>
                <w:rFonts w:asciiTheme="minorEastAsia" w:hAnsiTheme="minorEastAsia"/>
                <w:color w:val="000000"/>
                <w:sz w:val="24"/>
                <w:szCs w:val="24"/>
                <w:lang w:eastAsia="zh-CN"/>
              </w:rPr>
              <w:t>7844596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县自然资源局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0355-7849444</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县林业和草原局</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asciiTheme="minorEastAsia" w:hAnsiTheme="minorEastAsia"/>
                <w:color w:val="000000"/>
                <w:sz w:val="24"/>
                <w:szCs w:val="24"/>
                <w:lang w:eastAsia="zh-CN"/>
              </w:rPr>
              <w:t>0355-7832350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县防震减灾中心</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0355-7833997</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县疾病预防控制中心</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asciiTheme="minorEastAsia" w:hAnsiTheme="minorEastAsia"/>
                <w:color w:val="000000"/>
                <w:sz w:val="24"/>
                <w:szCs w:val="24"/>
                <w:lang w:eastAsia="zh-CN"/>
              </w:rPr>
              <w:t>0355</w:t>
            </w:r>
            <w:r>
              <w:rPr>
                <w:rFonts w:hint="eastAsia" w:asciiTheme="minorEastAsia" w:hAnsiTheme="minorEastAsia"/>
                <w:color w:val="000000"/>
                <w:sz w:val="24"/>
                <w:szCs w:val="24"/>
                <w:lang w:eastAsia="zh-CN"/>
              </w:rPr>
              <w:t>-</w:t>
            </w:r>
            <w:r>
              <w:rPr>
                <w:rFonts w:asciiTheme="minorEastAsia" w:hAnsiTheme="minorEastAsia"/>
                <w:color w:val="000000"/>
                <w:sz w:val="24"/>
                <w:szCs w:val="24"/>
                <w:lang w:eastAsia="zh-CN"/>
              </w:rPr>
              <w:t>7832134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县住房和城乡建设局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0355-7832145</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县消防救援大队</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0355-7845696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县发展改革和科学技术局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0355-7832953</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武警沁源中队</w:t>
            </w:r>
          </w:p>
        </w:tc>
        <w:tc>
          <w:tcPr>
            <w:tcW w:w="1842" w:type="dxa"/>
            <w:vAlign w:val="center"/>
          </w:tcPr>
          <w:p>
            <w:pPr>
              <w:pStyle w:val="25"/>
              <w:spacing w:after="0" w:line="400" w:lineRule="exact"/>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15383452560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县交警大队</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0355-7849306</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县医疗集团</w:t>
            </w:r>
          </w:p>
        </w:tc>
        <w:tc>
          <w:tcPr>
            <w:tcW w:w="1842" w:type="dxa"/>
            <w:vAlign w:val="center"/>
          </w:tcPr>
          <w:p>
            <w:pPr>
              <w:pStyle w:val="25"/>
              <w:spacing w:after="0" w:line="400" w:lineRule="exact"/>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0355-7832058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县财政局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0355-7839103</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县融媒体中心</w:t>
            </w:r>
          </w:p>
        </w:tc>
        <w:tc>
          <w:tcPr>
            <w:tcW w:w="1842" w:type="dxa"/>
            <w:vAlign w:val="center"/>
          </w:tcPr>
          <w:p>
            <w:pPr>
              <w:pStyle w:val="25"/>
              <w:spacing w:after="0" w:line="400" w:lineRule="exact"/>
              <w:jc w:val="center"/>
              <w:rPr>
                <w:rFonts w:hint="default" w:asciiTheme="minorEastAsia" w:hAnsiTheme="minorEastAsia"/>
                <w:color w:val="000000"/>
                <w:sz w:val="24"/>
                <w:szCs w:val="24"/>
                <w:lang w:val="en-US" w:eastAsia="zh-CN"/>
              </w:rPr>
            </w:pPr>
            <w:r>
              <w:rPr>
                <w:rFonts w:hint="eastAsia" w:asciiTheme="minorEastAsia" w:hAnsiTheme="minorEastAsia"/>
                <w:color w:val="000000"/>
                <w:sz w:val="24"/>
                <w:szCs w:val="24"/>
                <w:lang w:val="en-US" w:eastAsia="zh-CN"/>
              </w:rPr>
              <w:t>0355-7834411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县工业和信息化局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0355-7844561</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国网沁源供电公司</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0355-5565219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县交通运输局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0355-7832017</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联通沁源分公司</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0355-7835198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县卫生健康和体育局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0355-7832168</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移动沁源分公司</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13835561355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县农业农村局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asciiTheme="minorEastAsia" w:hAnsiTheme="minorEastAsia"/>
                <w:color w:val="000000"/>
                <w:sz w:val="24"/>
                <w:szCs w:val="24"/>
                <w:lang w:eastAsia="zh-CN"/>
              </w:rPr>
              <w:t>0355-7838540</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电信沁源分公司</w:t>
            </w: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0355-5562001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县市场监管局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0355-7832076</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县民政局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0355-7832357</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cs="仿宋_GB2312" w:asciiTheme="minorEastAsia" w:hAnsiTheme="minorEastAsia"/>
                <w:sz w:val="24"/>
                <w:szCs w:val="24"/>
              </w:rPr>
              <w:t>县能源局</w:t>
            </w: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r>
              <w:rPr>
                <w:rFonts w:hint="eastAsia" w:asciiTheme="minorEastAsia" w:hAnsiTheme="minorEastAsia"/>
                <w:color w:val="000000"/>
                <w:sz w:val="24"/>
                <w:szCs w:val="24"/>
                <w:lang w:eastAsia="zh-CN"/>
              </w:rPr>
              <w:t>0355-7846468</w:t>
            </w: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085" w:type="dxa"/>
            <w:vAlign w:val="center"/>
          </w:tcPr>
          <w:p>
            <w:pPr>
              <w:pStyle w:val="25"/>
              <w:spacing w:after="0" w:line="400" w:lineRule="exact"/>
              <w:jc w:val="center"/>
              <w:rPr>
                <w:rFonts w:asciiTheme="minorEastAsia" w:hAnsiTheme="minorEastAsia"/>
                <w:color w:val="000000"/>
                <w:sz w:val="24"/>
                <w:szCs w:val="24"/>
                <w:lang w:eastAsia="zh-CN"/>
              </w:rPr>
            </w:pPr>
          </w:p>
        </w:tc>
        <w:tc>
          <w:tcPr>
            <w:tcW w:w="1843" w:type="dxa"/>
            <w:vAlign w:val="center"/>
          </w:tcPr>
          <w:p>
            <w:pPr>
              <w:pStyle w:val="25"/>
              <w:spacing w:after="0" w:line="400" w:lineRule="exact"/>
              <w:jc w:val="center"/>
              <w:rPr>
                <w:rFonts w:asciiTheme="minorEastAsia" w:hAnsiTheme="minorEastAsia"/>
                <w:color w:val="000000"/>
                <w:sz w:val="24"/>
                <w:szCs w:val="24"/>
                <w:lang w:eastAsia="zh-CN"/>
              </w:rPr>
            </w:pPr>
          </w:p>
        </w:tc>
        <w:tc>
          <w:tcPr>
            <w:tcW w:w="2410" w:type="dxa"/>
            <w:vAlign w:val="center"/>
          </w:tcPr>
          <w:p>
            <w:pPr>
              <w:pStyle w:val="25"/>
              <w:spacing w:after="0" w:line="400" w:lineRule="exact"/>
              <w:jc w:val="center"/>
              <w:rPr>
                <w:rFonts w:asciiTheme="minorEastAsia" w:hAnsiTheme="minorEastAsia"/>
                <w:color w:val="000000"/>
                <w:sz w:val="24"/>
                <w:szCs w:val="24"/>
                <w:lang w:eastAsia="zh-CN"/>
              </w:rPr>
            </w:pPr>
          </w:p>
        </w:tc>
        <w:tc>
          <w:tcPr>
            <w:tcW w:w="1842" w:type="dxa"/>
            <w:vAlign w:val="center"/>
          </w:tcPr>
          <w:p>
            <w:pPr>
              <w:pStyle w:val="25"/>
              <w:spacing w:after="0" w:line="400" w:lineRule="exact"/>
              <w:jc w:val="center"/>
              <w:rPr>
                <w:rFonts w:asciiTheme="minorEastAsia" w:hAnsiTheme="minorEastAsia"/>
                <w:color w:val="000000"/>
                <w:sz w:val="24"/>
                <w:szCs w:val="24"/>
                <w:lang w:eastAsia="zh-CN"/>
              </w:rPr>
            </w:pPr>
          </w:p>
        </w:tc>
      </w:tr>
    </w:tbl>
    <w:p>
      <w:pPr>
        <w:rPr>
          <w:rFonts w:ascii="仿宋" w:hAnsi="仿宋" w:eastAsia="宋体" w:cs="仿宋"/>
          <w:bCs/>
          <w:szCs w:val="32"/>
        </w:rPr>
      </w:pPr>
    </w:p>
    <w:p>
      <w:pPr>
        <w:rPr>
          <w:rFonts w:ascii="仿宋" w:hAnsi="仿宋" w:eastAsia="宋体" w:cs="仿宋"/>
          <w:bCs/>
          <w:szCs w:val="32"/>
        </w:rPr>
        <w:sectPr>
          <w:headerReference r:id="rId3" w:type="default"/>
          <w:footerReference r:id="rId4" w:type="default"/>
          <w:footerReference r:id="rId5" w:type="even"/>
          <w:pgSz w:w="11907" w:h="16840"/>
          <w:pgMar w:top="1418" w:right="1418" w:bottom="1134" w:left="1418" w:header="0" w:footer="1701" w:gutter="0"/>
          <w:pgNumType w:start="1"/>
          <w:cols w:space="720" w:num="1"/>
          <w:docGrid w:linePitch="490" w:charSpace="-842"/>
        </w:sectPr>
      </w:pPr>
    </w:p>
    <w:p>
      <w:pPr>
        <w:pStyle w:val="4"/>
        <w:spacing w:line="560" w:lineRule="exact"/>
        <w:jc w:val="center"/>
        <w:rPr>
          <w:rFonts w:ascii="宋体" w:hAnsi="宋体" w:eastAsia="宋体" w:cs="宋体"/>
        </w:rPr>
      </w:pPr>
      <w:bookmarkStart w:id="79" w:name="_Toc14633"/>
      <w:r>
        <w:rPr>
          <w:rFonts w:hint="eastAsia" w:ascii="宋体" w:hAnsi="宋体" w:eastAsia="宋体" w:cs="宋体"/>
        </w:rPr>
        <w:t>11.3沁源县抗震救灾指挥机构及职责</w:t>
      </w:r>
      <w:bookmarkEnd w:id="79"/>
    </w:p>
    <w:tbl>
      <w:tblPr>
        <w:tblStyle w:val="11"/>
        <w:tblW w:w="13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8"/>
        <w:gridCol w:w="2805"/>
        <w:gridCol w:w="9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jc w:val="center"/>
        </w:trPr>
        <w:tc>
          <w:tcPr>
            <w:tcW w:w="4503" w:type="dxa"/>
            <w:gridSpan w:val="2"/>
            <w:noWrap/>
            <w:tcMar>
              <w:top w:w="15" w:type="dxa"/>
              <w:left w:w="15" w:type="dxa"/>
              <w:right w:w="15" w:type="dxa"/>
            </w:tcMar>
            <w:vAlign w:val="center"/>
          </w:tcPr>
          <w:p>
            <w:pPr>
              <w:widowControl/>
              <w:spacing w:line="440" w:lineRule="exact"/>
              <w:jc w:val="center"/>
              <w:textAlignment w:val="center"/>
              <w:rPr>
                <w:rFonts w:ascii="黑体" w:hAnsi="黑体" w:eastAsia="黑体" w:cs="黑体"/>
                <w:kern w:val="0"/>
                <w:sz w:val="32"/>
                <w:szCs w:val="32"/>
              </w:rPr>
            </w:pPr>
            <w:r>
              <w:rPr>
                <w:rFonts w:hint="eastAsia" w:ascii="黑体" w:hAnsi="黑体" w:eastAsia="黑体" w:cs="黑体"/>
                <w:sz w:val="32"/>
                <w:szCs w:val="32"/>
              </w:rPr>
              <w:t>指挥机构</w:t>
            </w:r>
          </w:p>
        </w:tc>
        <w:tc>
          <w:tcPr>
            <w:tcW w:w="9437" w:type="dxa"/>
            <w:noWrap/>
            <w:tcMar>
              <w:top w:w="15" w:type="dxa"/>
              <w:left w:w="15" w:type="dxa"/>
              <w:right w:w="15" w:type="dxa"/>
            </w:tcMar>
            <w:vAlign w:val="center"/>
          </w:tcPr>
          <w:p>
            <w:pPr>
              <w:widowControl/>
              <w:spacing w:line="600" w:lineRule="exact"/>
              <w:jc w:val="center"/>
              <w:textAlignment w:val="center"/>
              <w:rPr>
                <w:rFonts w:ascii="黑体" w:hAnsi="黑体" w:eastAsia="黑体" w:cs="黑体"/>
                <w:sz w:val="24"/>
              </w:rPr>
            </w:pPr>
            <w:r>
              <w:rPr>
                <w:rFonts w:hint="eastAsia" w:ascii="黑体" w:hAnsi="黑体" w:eastAsia="黑体" w:cs="黑体"/>
                <w:sz w:val="32"/>
                <w:szCs w:val="32"/>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6" w:hRule="atLeast"/>
          <w:jc w:val="center"/>
        </w:trPr>
        <w:tc>
          <w:tcPr>
            <w:tcW w:w="1698" w:type="dxa"/>
            <w:vMerge w:val="restart"/>
            <w:noWrap/>
            <w:tcMar>
              <w:top w:w="15" w:type="dxa"/>
              <w:left w:w="15" w:type="dxa"/>
              <w:right w:w="15" w:type="dxa"/>
            </w:tcMar>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指挥长</w:t>
            </w:r>
          </w:p>
        </w:tc>
        <w:tc>
          <w:tcPr>
            <w:tcW w:w="2805" w:type="dxa"/>
            <w:noWrap/>
            <w:tcMar>
              <w:top w:w="15" w:type="dxa"/>
              <w:left w:w="15" w:type="dxa"/>
              <w:right w:w="15" w:type="dxa"/>
            </w:tcMar>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lang w:eastAsia="zh-CN"/>
              </w:rPr>
              <w:t>县政府</w:t>
            </w:r>
            <w:r>
              <w:rPr>
                <w:rFonts w:hint="eastAsia" w:ascii="宋体" w:hAnsi="宋体" w:eastAsia="宋体" w:cs="宋体"/>
                <w:kern w:val="0"/>
                <w:sz w:val="28"/>
                <w:szCs w:val="28"/>
              </w:rPr>
              <w:t>分管应急、防震减灾工作的副县长</w:t>
            </w:r>
          </w:p>
        </w:tc>
        <w:tc>
          <w:tcPr>
            <w:tcW w:w="9437" w:type="dxa"/>
            <w:vMerge w:val="restart"/>
            <w:noWrap/>
            <w:tcMar>
              <w:top w:w="15" w:type="dxa"/>
              <w:left w:w="15" w:type="dxa"/>
              <w:right w:w="15" w:type="dxa"/>
            </w:tcMar>
            <w:vAlign w:val="center"/>
          </w:tcPr>
          <w:p>
            <w:pPr>
              <w:widowControl/>
              <w:spacing w:line="440" w:lineRule="exact"/>
              <w:ind w:firstLine="482" w:firstLineChars="200"/>
              <w:rPr>
                <w:rFonts w:ascii="仿宋_GB2312" w:hAnsi="仿宋_GB2312" w:cs="仿宋_GB2312"/>
                <w:kern w:val="0"/>
                <w:sz w:val="24"/>
              </w:rPr>
            </w:pPr>
            <w:r>
              <w:rPr>
                <w:rFonts w:hint="eastAsia" w:ascii="仿宋_GB2312" w:hAnsi="仿宋_GB2312" w:cs="仿宋_GB2312"/>
                <w:b/>
                <w:bCs/>
                <w:kern w:val="0"/>
                <w:sz w:val="24"/>
              </w:rPr>
              <w:t>县指挥部主要职责：</w:t>
            </w:r>
            <w:r>
              <w:rPr>
                <w:rFonts w:hint="eastAsia" w:ascii="仿宋_GB2312" w:hAnsi="仿宋_GB2312" w:cs="仿宋_GB2312"/>
                <w:kern w:val="0"/>
                <w:sz w:val="24"/>
              </w:rPr>
              <w:t>贯彻落实党中央、国务院，省委、省政府，市委、市政府，县委、县政府关于防震抗震工作的决策部署，统筹全县防震减灾和抗震救灾工作，制定防震、抗震、救灾总体规划、重要措施，指导协调地震风险防控、监测预警、调查评估和灾后恢复重建工作，组织指挥地震灾害应急处置工作，决定县级层面地震应急响应级别、应急期并组织落实响应措施，颁布临时规定，依法实施管理、限制、征用等措施，落实县委、县政府及县应急救援总指挥部交办的抗震救灾应急处置的其他重大事项。</w:t>
            </w:r>
          </w:p>
          <w:p>
            <w:pPr>
              <w:widowControl/>
              <w:spacing w:line="440" w:lineRule="exact"/>
              <w:ind w:firstLine="480" w:firstLineChars="200"/>
              <w:rPr>
                <w:rFonts w:ascii="仿宋_GB2312" w:hAnsi="仿宋_GB2312" w:cs="仿宋_GB2312"/>
                <w:kern w:val="0"/>
                <w:sz w:val="24"/>
              </w:rPr>
            </w:pPr>
          </w:p>
          <w:p>
            <w:pPr>
              <w:widowControl/>
              <w:spacing w:line="440" w:lineRule="exact"/>
              <w:ind w:firstLine="482" w:firstLineChars="200"/>
              <w:rPr>
                <w:rFonts w:ascii="仿宋" w:hAnsi="仿宋" w:eastAsia="仿宋" w:cs="仿宋"/>
                <w:bCs/>
                <w:sz w:val="24"/>
              </w:rPr>
            </w:pPr>
            <w:r>
              <w:rPr>
                <w:rFonts w:hint="eastAsia" w:ascii="仿宋_GB2312" w:hAnsi="仿宋_GB2312" w:cs="仿宋_GB2312"/>
                <w:b/>
                <w:bCs/>
                <w:kern w:val="0"/>
                <w:sz w:val="24"/>
              </w:rPr>
              <w:t>县指挥部办公室职责：</w:t>
            </w:r>
            <w:r>
              <w:rPr>
                <w:rFonts w:hint="eastAsia" w:ascii="仿宋_GB2312" w:hAnsi="仿宋_GB2312" w:cs="仿宋_GB2312"/>
                <w:kern w:val="0"/>
                <w:sz w:val="24"/>
              </w:rPr>
              <w:t>承担抗震救灾指挥部日常工作,制定、修订抗震救灾专项应急预案,开展地震风险防控治理和监测预警工作, 组织桌面推演、实兵演练等抗震救灾专项训练,协调各方面力量参加抗震救灾救援行动,协助县委、县政府指定的负责同志组织抗震救灾应急处置工作,组织开展调查评估和协调推进恢复重建工作,报告和发布抗震救灾信息,指导乡（镇）抗震救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698" w:type="dxa"/>
            <w:vMerge w:val="restart"/>
            <w:noWrap/>
            <w:tcMar>
              <w:top w:w="15" w:type="dxa"/>
              <w:left w:w="15" w:type="dxa"/>
              <w:right w:w="15" w:type="dxa"/>
            </w:tcMar>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副</w:t>
            </w:r>
          </w:p>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指</w:t>
            </w:r>
          </w:p>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挥</w:t>
            </w:r>
          </w:p>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长</w:t>
            </w:r>
          </w:p>
        </w:tc>
        <w:tc>
          <w:tcPr>
            <w:tcW w:w="2805" w:type="dxa"/>
            <w:noWrap/>
            <w:tcMar>
              <w:top w:w="15" w:type="dxa"/>
              <w:left w:w="15" w:type="dxa"/>
              <w:right w:w="15" w:type="dxa"/>
            </w:tcMar>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县人民武装部部长</w:t>
            </w:r>
          </w:p>
        </w:tc>
        <w:tc>
          <w:tcPr>
            <w:tcW w:w="9437" w:type="dxa"/>
            <w:vMerge w:val="continue"/>
            <w:noWrap/>
            <w:tcMar>
              <w:top w:w="15" w:type="dxa"/>
              <w:left w:w="15" w:type="dxa"/>
              <w:right w:w="15" w:type="dxa"/>
            </w:tcMar>
            <w:vAlign w:val="center"/>
          </w:tcPr>
          <w:p>
            <w:pPr>
              <w:widowControl/>
              <w:spacing w:line="320" w:lineRule="exact"/>
              <w:ind w:firstLine="480" w:firstLineChars="200"/>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698" w:type="dxa"/>
            <w:vMerge w:val="continue"/>
            <w:noWrap/>
            <w:tcMar>
              <w:top w:w="15" w:type="dxa"/>
              <w:left w:w="15" w:type="dxa"/>
              <w:right w:w="15" w:type="dxa"/>
            </w:tcMar>
            <w:vAlign w:val="center"/>
          </w:tcPr>
          <w:p>
            <w:pPr>
              <w:widowControl/>
              <w:spacing w:line="400" w:lineRule="exact"/>
              <w:ind w:firstLine="560" w:firstLineChars="200"/>
              <w:rPr>
                <w:rFonts w:ascii="宋体" w:hAnsi="宋体" w:eastAsia="宋体" w:cs="宋体"/>
                <w:kern w:val="0"/>
                <w:sz w:val="28"/>
                <w:szCs w:val="28"/>
              </w:rPr>
            </w:pPr>
          </w:p>
        </w:tc>
        <w:tc>
          <w:tcPr>
            <w:tcW w:w="2805" w:type="dxa"/>
            <w:noWrap/>
            <w:tcMar>
              <w:top w:w="15" w:type="dxa"/>
              <w:left w:w="15" w:type="dxa"/>
              <w:right w:w="15" w:type="dxa"/>
            </w:tcMar>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县政府办公室副主任</w:t>
            </w:r>
          </w:p>
        </w:tc>
        <w:tc>
          <w:tcPr>
            <w:tcW w:w="9437" w:type="dxa"/>
            <w:vMerge w:val="continue"/>
            <w:noWrap/>
            <w:tcMar>
              <w:top w:w="15" w:type="dxa"/>
              <w:left w:w="15" w:type="dxa"/>
              <w:right w:w="15" w:type="dxa"/>
            </w:tcMar>
            <w:vAlign w:val="center"/>
          </w:tcPr>
          <w:p>
            <w:pPr>
              <w:widowControl/>
              <w:spacing w:line="32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698" w:type="dxa"/>
            <w:vMerge w:val="continue"/>
            <w:noWrap/>
            <w:tcMar>
              <w:top w:w="15" w:type="dxa"/>
              <w:left w:w="15" w:type="dxa"/>
              <w:right w:w="15" w:type="dxa"/>
            </w:tcMar>
            <w:vAlign w:val="center"/>
          </w:tcPr>
          <w:p>
            <w:pPr>
              <w:widowControl/>
              <w:spacing w:line="400" w:lineRule="exact"/>
              <w:ind w:firstLine="560" w:firstLineChars="200"/>
              <w:rPr>
                <w:rFonts w:ascii="宋体" w:hAnsi="宋体" w:eastAsia="宋体" w:cs="宋体"/>
                <w:kern w:val="0"/>
                <w:sz w:val="28"/>
                <w:szCs w:val="28"/>
              </w:rPr>
            </w:pPr>
          </w:p>
        </w:tc>
        <w:tc>
          <w:tcPr>
            <w:tcW w:w="2805" w:type="dxa"/>
            <w:noWrap/>
            <w:tcMar>
              <w:top w:w="15" w:type="dxa"/>
              <w:left w:w="15" w:type="dxa"/>
              <w:right w:w="15" w:type="dxa"/>
            </w:tcMar>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县应急管理局局长</w:t>
            </w:r>
          </w:p>
        </w:tc>
        <w:tc>
          <w:tcPr>
            <w:tcW w:w="9437" w:type="dxa"/>
            <w:vMerge w:val="continue"/>
            <w:noWrap/>
            <w:tcMar>
              <w:top w:w="15" w:type="dxa"/>
              <w:left w:w="15" w:type="dxa"/>
              <w:right w:w="15" w:type="dxa"/>
            </w:tcMar>
            <w:vAlign w:val="center"/>
          </w:tcPr>
          <w:p>
            <w:pPr>
              <w:widowControl/>
              <w:spacing w:line="32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698" w:type="dxa"/>
            <w:vMerge w:val="continue"/>
            <w:noWrap/>
            <w:tcMar>
              <w:top w:w="15" w:type="dxa"/>
              <w:left w:w="15" w:type="dxa"/>
              <w:right w:w="15" w:type="dxa"/>
            </w:tcMar>
            <w:vAlign w:val="center"/>
          </w:tcPr>
          <w:p>
            <w:pPr>
              <w:widowControl/>
              <w:spacing w:line="400" w:lineRule="exact"/>
              <w:ind w:firstLine="560" w:firstLineChars="200"/>
              <w:rPr>
                <w:rFonts w:ascii="宋体" w:hAnsi="宋体" w:eastAsia="宋体" w:cs="宋体"/>
                <w:kern w:val="0"/>
                <w:sz w:val="28"/>
                <w:szCs w:val="28"/>
              </w:rPr>
            </w:pPr>
          </w:p>
        </w:tc>
        <w:tc>
          <w:tcPr>
            <w:tcW w:w="2805" w:type="dxa"/>
            <w:noWrap/>
            <w:tcMar>
              <w:top w:w="15" w:type="dxa"/>
              <w:left w:w="15" w:type="dxa"/>
              <w:right w:w="15" w:type="dxa"/>
            </w:tcMar>
            <w:vAlign w:val="center"/>
          </w:tcPr>
          <w:p>
            <w:pPr>
              <w:widowControl/>
              <w:spacing w:line="400" w:lineRule="exact"/>
              <w:jc w:val="center"/>
              <w:rPr>
                <w:rFonts w:ascii="宋体" w:hAnsi="宋体" w:eastAsia="宋体" w:cs="宋体"/>
                <w:kern w:val="0"/>
                <w:sz w:val="28"/>
                <w:szCs w:val="28"/>
              </w:rPr>
            </w:pPr>
            <w:r>
              <w:rPr>
                <w:rFonts w:hint="eastAsia" w:ascii="宋体" w:hAnsi="宋体" w:eastAsia="宋体" w:cs="宋体"/>
                <w:sz w:val="28"/>
                <w:szCs w:val="28"/>
              </w:rPr>
              <w:t>县防震减灾中心主任</w:t>
            </w:r>
          </w:p>
        </w:tc>
        <w:tc>
          <w:tcPr>
            <w:tcW w:w="9437" w:type="dxa"/>
            <w:vMerge w:val="continue"/>
            <w:noWrap/>
            <w:tcMar>
              <w:top w:w="15" w:type="dxa"/>
              <w:left w:w="15" w:type="dxa"/>
              <w:right w:w="15" w:type="dxa"/>
            </w:tcMar>
            <w:vAlign w:val="center"/>
          </w:tcPr>
          <w:p>
            <w:pPr>
              <w:widowControl/>
              <w:spacing w:line="320" w:lineRule="exact"/>
              <w:rPr>
                <w:rFonts w:ascii="仿宋" w:hAnsi="仿宋" w:eastAsia="仿宋" w:cs="仿宋"/>
                <w:bCs/>
                <w:sz w:val="24"/>
              </w:rPr>
            </w:pPr>
          </w:p>
        </w:tc>
      </w:tr>
    </w:tbl>
    <w:p>
      <w:pPr>
        <w:jc w:val="center"/>
        <w:rPr>
          <w:rFonts w:ascii="仿宋" w:hAnsi="仿宋" w:eastAsia="宋体" w:cs="仿宋"/>
          <w:bCs/>
          <w:szCs w:val="32"/>
        </w:rPr>
        <w:sectPr>
          <w:headerReference r:id="rId6" w:type="default"/>
          <w:footerReference r:id="rId7" w:type="default"/>
          <w:pgSz w:w="16840" w:h="11907" w:orient="landscape"/>
          <w:pgMar w:top="1701" w:right="1418" w:bottom="1418" w:left="1418" w:header="0" w:footer="1701" w:gutter="0"/>
          <w:cols w:space="720" w:num="1"/>
          <w:docGrid w:linePitch="490" w:charSpace="-842"/>
        </w:sectPr>
      </w:pPr>
    </w:p>
    <w:tbl>
      <w:tblPr>
        <w:tblStyle w:val="11"/>
        <w:tblW w:w="14210" w:type="dxa"/>
        <w:jc w:val="right"/>
        <w:tblLayout w:type="autofit"/>
        <w:tblCellMar>
          <w:top w:w="0" w:type="dxa"/>
          <w:left w:w="108" w:type="dxa"/>
          <w:bottom w:w="0" w:type="dxa"/>
          <w:right w:w="108" w:type="dxa"/>
        </w:tblCellMar>
      </w:tblPr>
      <w:tblGrid>
        <w:gridCol w:w="83"/>
        <w:gridCol w:w="776"/>
        <w:gridCol w:w="101"/>
        <w:gridCol w:w="2455"/>
        <w:gridCol w:w="405"/>
        <w:gridCol w:w="10229"/>
        <w:gridCol w:w="161"/>
      </w:tblGrid>
      <w:tr>
        <w:tblPrEx>
          <w:tblCellMar>
            <w:top w:w="0" w:type="dxa"/>
            <w:left w:w="108" w:type="dxa"/>
            <w:bottom w:w="0" w:type="dxa"/>
            <w:right w:w="108" w:type="dxa"/>
          </w:tblCellMar>
        </w:tblPrEx>
        <w:trPr>
          <w:gridBefore w:val="1"/>
          <w:wBefore w:w="83" w:type="dxa"/>
          <w:trHeight w:val="841" w:hRule="atLeast"/>
          <w:jc w:val="right"/>
        </w:trPr>
        <w:tc>
          <w:tcPr>
            <w:tcW w:w="33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Arial"/>
                <w:kern w:val="0"/>
                <w:sz w:val="32"/>
                <w:szCs w:val="32"/>
              </w:rPr>
            </w:pPr>
            <w:r>
              <w:rPr>
                <w:rFonts w:hint="eastAsia" w:ascii="黑体" w:hAnsi="黑体" w:eastAsia="黑体" w:cs="Arial"/>
                <w:kern w:val="0"/>
                <w:sz w:val="32"/>
                <w:szCs w:val="32"/>
              </w:rPr>
              <w:t>指挥机构</w:t>
            </w:r>
          </w:p>
        </w:tc>
        <w:tc>
          <w:tcPr>
            <w:tcW w:w="1079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Arial"/>
                <w:kern w:val="0"/>
                <w:sz w:val="32"/>
                <w:szCs w:val="32"/>
              </w:rPr>
            </w:pPr>
            <w:r>
              <w:rPr>
                <w:rFonts w:hint="eastAsia" w:ascii="黑体" w:hAnsi="黑体" w:eastAsia="黑体" w:cs="Arial"/>
                <w:kern w:val="0"/>
                <w:sz w:val="32"/>
                <w:szCs w:val="32"/>
              </w:rPr>
              <w:t>职  责</w:t>
            </w:r>
          </w:p>
        </w:tc>
      </w:tr>
      <w:tr>
        <w:tblPrEx>
          <w:tblCellMar>
            <w:top w:w="0" w:type="dxa"/>
            <w:left w:w="108" w:type="dxa"/>
            <w:bottom w:w="0" w:type="dxa"/>
            <w:right w:w="108" w:type="dxa"/>
          </w:tblCellMar>
        </w:tblPrEx>
        <w:trPr>
          <w:gridBefore w:val="1"/>
          <w:wBefore w:w="83" w:type="dxa"/>
          <w:trHeight w:val="600" w:hRule="atLeast"/>
          <w:jc w:val="right"/>
        </w:trPr>
        <w:tc>
          <w:tcPr>
            <w:tcW w:w="7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Arial"/>
                <w:kern w:val="0"/>
                <w:sz w:val="32"/>
                <w:szCs w:val="32"/>
                <w:lang w:eastAsia="zh-CN"/>
              </w:rPr>
            </w:pPr>
            <w:r>
              <w:rPr>
                <w:rFonts w:hint="eastAsia" w:ascii="黑体" w:hAnsi="黑体" w:eastAsia="黑体" w:cs="Arial"/>
                <w:kern w:val="0"/>
                <w:sz w:val="32"/>
                <w:szCs w:val="32"/>
              </w:rPr>
              <w:t>成</w:t>
            </w:r>
          </w:p>
          <w:p>
            <w:pPr>
              <w:widowControl/>
              <w:jc w:val="center"/>
              <w:rPr>
                <w:rFonts w:hint="eastAsia" w:ascii="黑体" w:hAnsi="黑体" w:eastAsia="黑体" w:cs="Arial"/>
                <w:kern w:val="0"/>
                <w:sz w:val="32"/>
                <w:szCs w:val="32"/>
                <w:lang w:eastAsia="zh-CN"/>
              </w:rPr>
            </w:pPr>
            <w:r>
              <w:rPr>
                <w:rFonts w:hint="eastAsia" w:ascii="黑体" w:hAnsi="黑体" w:eastAsia="黑体" w:cs="Arial"/>
                <w:kern w:val="0"/>
                <w:sz w:val="32"/>
                <w:szCs w:val="32"/>
              </w:rPr>
              <w:t>员</w:t>
            </w:r>
          </w:p>
          <w:p>
            <w:pPr>
              <w:widowControl/>
              <w:jc w:val="center"/>
              <w:rPr>
                <w:rFonts w:hint="eastAsia" w:ascii="黑体" w:hAnsi="黑体" w:eastAsia="黑体" w:cs="Arial"/>
                <w:kern w:val="0"/>
                <w:sz w:val="32"/>
                <w:szCs w:val="32"/>
                <w:lang w:eastAsia="zh-CN"/>
              </w:rPr>
            </w:pPr>
            <w:r>
              <w:rPr>
                <w:rFonts w:hint="eastAsia" w:ascii="黑体" w:hAnsi="黑体" w:eastAsia="黑体" w:cs="Arial"/>
                <w:kern w:val="0"/>
                <w:sz w:val="32"/>
                <w:szCs w:val="32"/>
              </w:rPr>
              <w:t>单</w:t>
            </w:r>
          </w:p>
          <w:p>
            <w:pPr>
              <w:widowControl/>
              <w:jc w:val="center"/>
              <w:rPr>
                <w:rFonts w:ascii="黑体" w:hAnsi="黑体" w:eastAsia="黑体" w:cs="Arial"/>
                <w:kern w:val="0"/>
                <w:sz w:val="32"/>
                <w:szCs w:val="32"/>
              </w:rPr>
            </w:pPr>
            <w:r>
              <w:rPr>
                <w:rFonts w:hint="eastAsia" w:ascii="黑体" w:hAnsi="黑体" w:eastAsia="黑体" w:cs="Arial"/>
                <w:kern w:val="0"/>
                <w:sz w:val="32"/>
                <w:szCs w:val="32"/>
              </w:rPr>
              <w:t>位</w:t>
            </w: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4"/>
                <w:szCs w:val="24"/>
              </w:rPr>
            </w:pPr>
            <w:r>
              <w:rPr>
                <w:rFonts w:hint="eastAsia" w:ascii="宋体" w:hAnsi="宋体" w:eastAsia="宋体" w:cs="Arial"/>
                <w:kern w:val="0"/>
                <w:sz w:val="24"/>
                <w:szCs w:val="24"/>
              </w:rPr>
              <w:t>县委宣传部</w:t>
            </w:r>
          </w:p>
        </w:tc>
        <w:tc>
          <w:tcPr>
            <w:tcW w:w="10795"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Arial"/>
                <w:kern w:val="0"/>
                <w:sz w:val="24"/>
              </w:rPr>
            </w:pPr>
            <w:r>
              <w:rPr>
                <w:rFonts w:hint="eastAsia" w:ascii="宋体" w:hAnsi="宋体" w:eastAsia="宋体" w:cs="Arial"/>
                <w:kern w:val="0"/>
                <w:sz w:val="24"/>
              </w:rPr>
              <w:t>根据县指挥部的统一部署，组织协调新闻媒体开展应急新闻报道，积极引导舆论。</w:t>
            </w:r>
          </w:p>
        </w:tc>
      </w:tr>
      <w:tr>
        <w:tblPrEx>
          <w:tblCellMar>
            <w:top w:w="0" w:type="dxa"/>
            <w:left w:w="108" w:type="dxa"/>
            <w:bottom w:w="0" w:type="dxa"/>
            <w:right w:w="108" w:type="dxa"/>
          </w:tblCellMar>
        </w:tblPrEx>
        <w:trPr>
          <w:gridBefore w:val="1"/>
          <w:wBefore w:w="83" w:type="dxa"/>
          <w:trHeight w:val="512" w:hRule="atLeast"/>
          <w:jc w:val="right"/>
        </w:trPr>
        <w:tc>
          <w:tcPr>
            <w:tcW w:w="7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4"/>
                <w:szCs w:val="24"/>
              </w:rPr>
            </w:pPr>
            <w:r>
              <w:rPr>
                <w:rFonts w:hint="eastAsia" w:ascii="宋体" w:hAnsi="宋体" w:eastAsia="宋体" w:cs="Arial"/>
                <w:kern w:val="0"/>
                <w:sz w:val="24"/>
                <w:szCs w:val="24"/>
              </w:rPr>
              <w:t>县政府办公室</w:t>
            </w:r>
          </w:p>
        </w:tc>
        <w:tc>
          <w:tcPr>
            <w:tcW w:w="10795"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Arial"/>
                <w:kern w:val="0"/>
                <w:sz w:val="24"/>
              </w:rPr>
            </w:pPr>
            <w:r>
              <w:rPr>
                <w:rFonts w:hint="eastAsia" w:ascii="宋体" w:hAnsi="宋体" w:eastAsia="宋体" w:cs="Arial"/>
                <w:kern w:val="0"/>
                <w:sz w:val="24"/>
              </w:rPr>
              <w:t>负责全县抗震抢险救灾期间重大事项、信息发布及各成员单位的组织协调等工作。</w:t>
            </w:r>
          </w:p>
        </w:tc>
      </w:tr>
      <w:tr>
        <w:tblPrEx>
          <w:tblCellMar>
            <w:top w:w="0" w:type="dxa"/>
            <w:left w:w="108" w:type="dxa"/>
            <w:bottom w:w="0" w:type="dxa"/>
            <w:right w:w="108" w:type="dxa"/>
          </w:tblCellMar>
        </w:tblPrEx>
        <w:trPr>
          <w:gridBefore w:val="1"/>
          <w:wBefore w:w="83" w:type="dxa"/>
          <w:trHeight w:val="761" w:hRule="atLeast"/>
          <w:jc w:val="right"/>
        </w:trPr>
        <w:tc>
          <w:tcPr>
            <w:tcW w:w="7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4"/>
                <w:szCs w:val="24"/>
              </w:rPr>
            </w:pPr>
            <w:bookmarkStart w:id="80" w:name="RANGE!K206"/>
            <w:r>
              <w:rPr>
                <w:rFonts w:hint="eastAsia" w:ascii="宋体" w:hAnsi="宋体" w:eastAsia="宋体" w:cs="Arial"/>
                <w:kern w:val="0"/>
                <w:sz w:val="24"/>
                <w:szCs w:val="24"/>
              </w:rPr>
              <w:t>县人民武装部</w:t>
            </w:r>
            <w:bookmarkEnd w:id="80"/>
          </w:p>
        </w:tc>
        <w:tc>
          <w:tcPr>
            <w:tcW w:w="10795"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Arial"/>
                <w:kern w:val="0"/>
                <w:sz w:val="24"/>
              </w:rPr>
            </w:pPr>
            <w:r>
              <w:rPr>
                <w:rFonts w:hint="eastAsia" w:ascii="宋体" w:hAnsi="宋体" w:eastAsia="宋体" w:cs="Arial"/>
                <w:kern w:val="0"/>
                <w:sz w:val="24"/>
              </w:rPr>
              <w:t>根据县指挥部要求，负责组织协调武警、民兵、预备役部队参加抢险救灾行动；协助当地政府转移、解救危险地带的群众；协助公安部门维护灾区社会秩序等工作。</w:t>
            </w:r>
          </w:p>
        </w:tc>
      </w:tr>
      <w:tr>
        <w:tblPrEx>
          <w:tblCellMar>
            <w:top w:w="0" w:type="dxa"/>
            <w:left w:w="108" w:type="dxa"/>
            <w:bottom w:w="0" w:type="dxa"/>
            <w:right w:w="108" w:type="dxa"/>
          </w:tblCellMar>
        </w:tblPrEx>
        <w:trPr>
          <w:gridBefore w:val="1"/>
          <w:wBefore w:w="83" w:type="dxa"/>
          <w:trHeight w:val="2304" w:hRule="atLeast"/>
          <w:jc w:val="right"/>
        </w:trPr>
        <w:tc>
          <w:tcPr>
            <w:tcW w:w="7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4"/>
                <w:szCs w:val="24"/>
              </w:rPr>
            </w:pPr>
            <w:r>
              <w:rPr>
                <w:rFonts w:hint="eastAsia" w:ascii="宋体" w:hAnsi="宋体" w:eastAsia="宋体" w:cs="Arial"/>
                <w:kern w:val="0"/>
                <w:sz w:val="24"/>
                <w:szCs w:val="24"/>
              </w:rPr>
              <w:t>县应急管理局</w:t>
            </w:r>
          </w:p>
        </w:tc>
        <w:tc>
          <w:tcPr>
            <w:tcW w:w="10795"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Arial"/>
                <w:kern w:val="0"/>
                <w:sz w:val="24"/>
              </w:rPr>
            </w:pPr>
            <w:r>
              <w:rPr>
                <w:rFonts w:hint="eastAsia" w:ascii="宋体" w:hAnsi="宋体" w:eastAsia="宋体" w:cs="Arial"/>
                <w:kern w:val="0"/>
                <w:sz w:val="24"/>
              </w:rPr>
              <w:t>负责承担指挥部办公室日常工作；负责组织协调市指挥部成员单位做好抗震救灾应急处置和救援工作，通报地震震情、灾情及应急救援、抗震救灾动态等信息，指导县抗震救灾工作；负责协调各类救援队伍参加抢险救援；负责震害损失调查评估；负责灾民转移、安置；调拨并分配保障灾民基本生活的物资和资金；指导灾区煤矿、非煤矿山、危化、冶金、工贸等企业开展次生灾害抢、排险工作；协调开放应急避难场所；承担地震监测预报、地震速报、震情趋势判定、地震灾害快速评估、地震灾害调查、地震烈度评定、地震灾害损失评估等工作；开展震后地震科学考察，参与制定地震灾区重建规划；开展地震知识宣传；完成上级部门和县委、县政府交办的其他工作。</w:t>
            </w:r>
          </w:p>
        </w:tc>
      </w:tr>
      <w:tr>
        <w:tblPrEx>
          <w:tblCellMar>
            <w:top w:w="0" w:type="dxa"/>
            <w:left w:w="108" w:type="dxa"/>
            <w:bottom w:w="0" w:type="dxa"/>
            <w:right w:w="108" w:type="dxa"/>
          </w:tblCellMar>
        </w:tblPrEx>
        <w:trPr>
          <w:gridBefore w:val="1"/>
          <w:wBefore w:w="83" w:type="dxa"/>
          <w:trHeight w:val="1866" w:hRule="atLeast"/>
          <w:jc w:val="right"/>
        </w:trPr>
        <w:tc>
          <w:tcPr>
            <w:tcW w:w="7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4"/>
                <w:szCs w:val="24"/>
              </w:rPr>
            </w:pPr>
            <w:r>
              <w:rPr>
                <w:rFonts w:hint="eastAsia" w:ascii="宋体" w:hAnsi="宋体" w:eastAsia="宋体" w:cs="Arial"/>
                <w:kern w:val="0"/>
                <w:sz w:val="24"/>
                <w:szCs w:val="24"/>
              </w:rPr>
              <w:t>县防震减灾中心</w:t>
            </w:r>
          </w:p>
        </w:tc>
        <w:tc>
          <w:tcPr>
            <w:tcW w:w="10795"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Arial"/>
                <w:kern w:val="0"/>
                <w:sz w:val="24"/>
              </w:rPr>
            </w:pPr>
            <w:r>
              <w:rPr>
                <w:rFonts w:hint="eastAsia" w:ascii="宋体" w:hAnsi="宋体" w:eastAsia="宋体" w:cs="Arial"/>
                <w:kern w:val="0"/>
                <w:sz w:val="24"/>
              </w:rPr>
              <w:t>负责组织编制及实施县防震减灾规划；监督管理防震减灾事业经费和专项资金的使用；负责完善县地震监测预报工作体系，对本县地震活动与地震前兆信息进行监测、分析、处理：对震情趋势进行分析测报，向县政府提出防震工作建议和减灾防御措施；负责全市震害防御工作；承担县政府抗震救灾指挥机构相关职能：负责震情和灾情速报，会同有关部门组织地震灾害调查与评估：参与制定地震灾区重建规划；负责全市地震应急管理和救援作负责全市地震应急预案体系建设；完成上级部门和县委、县政府交办的其他工作。</w:t>
            </w:r>
          </w:p>
        </w:tc>
      </w:tr>
      <w:tr>
        <w:tblPrEx>
          <w:tblCellMar>
            <w:top w:w="0" w:type="dxa"/>
            <w:left w:w="108" w:type="dxa"/>
            <w:bottom w:w="0" w:type="dxa"/>
            <w:right w:w="108" w:type="dxa"/>
          </w:tblCellMar>
        </w:tblPrEx>
        <w:trPr>
          <w:gridBefore w:val="1"/>
          <w:wBefore w:w="83" w:type="dxa"/>
          <w:trHeight w:val="1140" w:hRule="atLeast"/>
          <w:jc w:val="right"/>
        </w:trPr>
        <w:tc>
          <w:tcPr>
            <w:tcW w:w="7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Arial"/>
                <w:kern w:val="0"/>
                <w:sz w:val="24"/>
                <w:szCs w:val="24"/>
              </w:rPr>
            </w:pPr>
            <w:r>
              <w:rPr>
                <w:rFonts w:hint="eastAsia" w:ascii="宋体" w:hAnsi="宋体" w:eastAsia="宋体" w:cs="Arial"/>
                <w:kern w:val="0"/>
                <w:sz w:val="24"/>
                <w:szCs w:val="24"/>
              </w:rPr>
              <w:t>县教育局</w:t>
            </w:r>
          </w:p>
        </w:tc>
        <w:tc>
          <w:tcPr>
            <w:tcW w:w="10795" w:type="dxa"/>
            <w:gridSpan w:val="3"/>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Arial"/>
                <w:kern w:val="0"/>
                <w:sz w:val="24"/>
              </w:rPr>
            </w:pPr>
            <w:r>
              <w:rPr>
                <w:rFonts w:hint="eastAsia" w:ascii="宋体" w:hAnsi="宋体" w:eastAsia="宋体" w:cs="Arial"/>
                <w:kern w:val="0"/>
                <w:sz w:val="24"/>
              </w:rPr>
              <w:t>负责督促指导学校编制抗震救灾应急预案，指导学校做好在校学生的应急疏散、安置；负责指导在校学生心理咨询、宣传教育；增强师生防灾避险意识，及时组织教职员工和学生安全转移；组织本系统做好地震灾害应对工作。</w:t>
            </w:r>
          </w:p>
        </w:tc>
      </w:tr>
      <w:tr>
        <w:tblPrEx>
          <w:tblCellMar>
            <w:top w:w="0" w:type="dxa"/>
            <w:left w:w="108" w:type="dxa"/>
            <w:bottom w:w="0" w:type="dxa"/>
            <w:right w:w="108" w:type="dxa"/>
          </w:tblCellMar>
        </w:tblPrEx>
        <w:trPr>
          <w:gridBefore w:val="1"/>
          <w:wBefore w:w="83" w:type="dxa"/>
          <w:trHeight w:val="841" w:hRule="atLeast"/>
          <w:jc w:val="right"/>
        </w:trPr>
        <w:tc>
          <w:tcPr>
            <w:tcW w:w="33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Arial"/>
                <w:kern w:val="0"/>
                <w:sz w:val="32"/>
                <w:szCs w:val="32"/>
              </w:rPr>
            </w:pPr>
            <w:r>
              <w:rPr>
                <w:rFonts w:hint="eastAsia" w:ascii="黑体" w:hAnsi="黑体" w:eastAsia="黑体" w:cs="Arial"/>
                <w:kern w:val="0"/>
                <w:sz w:val="32"/>
                <w:szCs w:val="32"/>
              </w:rPr>
              <w:t>指挥机构</w:t>
            </w:r>
          </w:p>
        </w:tc>
        <w:tc>
          <w:tcPr>
            <w:tcW w:w="1079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Arial"/>
                <w:kern w:val="0"/>
                <w:sz w:val="32"/>
                <w:szCs w:val="32"/>
              </w:rPr>
            </w:pPr>
            <w:r>
              <w:rPr>
                <w:rFonts w:hint="eastAsia" w:ascii="黑体" w:hAnsi="黑体" w:eastAsia="黑体" w:cs="Arial"/>
                <w:kern w:val="0"/>
                <w:sz w:val="32"/>
                <w:szCs w:val="32"/>
              </w:rPr>
              <w:t>职  责</w:t>
            </w:r>
          </w:p>
        </w:tc>
      </w:tr>
      <w:tr>
        <w:tblPrEx>
          <w:tblCellMar>
            <w:top w:w="0" w:type="dxa"/>
            <w:left w:w="108" w:type="dxa"/>
            <w:bottom w:w="0" w:type="dxa"/>
            <w:right w:w="108" w:type="dxa"/>
          </w:tblCellMar>
        </w:tblPrEx>
        <w:trPr>
          <w:gridBefore w:val="1"/>
          <w:wBefore w:w="83" w:type="dxa"/>
          <w:trHeight w:val="1127" w:hRule="atLeast"/>
          <w:jc w:val="right"/>
        </w:trPr>
        <w:tc>
          <w:tcPr>
            <w:tcW w:w="77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Arial"/>
                <w:kern w:val="0"/>
                <w:sz w:val="32"/>
                <w:szCs w:val="32"/>
                <w:lang w:eastAsia="zh-CN"/>
              </w:rPr>
            </w:pPr>
            <w:r>
              <w:rPr>
                <w:rFonts w:hint="eastAsia" w:ascii="黑体" w:hAnsi="黑体" w:eastAsia="黑体" w:cs="Arial"/>
                <w:kern w:val="0"/>
                <w:sz w:val="32"/>
                <w:szCs w:val="32"/>
              </w:rPr>
              <w:t>成</w:t>
            </w:r>
          </w:p>
          <w:p>
            <w:pPr>
              <w:widowControl/>
              <w:jc w:val="center"/>
              <w:rPr>
                <w:rFonts w:hint="eastAsia" w:ascii="黑体" w:hAnsi="黑体" w:eastAsia="黑体" w:cs="Arial"/>
                <w:kern w:val="0"/>
                <w:sz w:val="32"/>
                <w:szCs w:val="32"/>
                <w:lang w:eastAsia="zh-CN"/>
              </w:rPr>
            </w:pPr>
            <w:r>
              <w:rPr>
                <w:rFonts w:hint="eastAsia" w:ascii="黑体" w:hAnsi="黑体" w:eastAsia="黑体" w:cs="Arial"/>
                <w:kern w:val="0"/>
                <w:sz w:val="32"/>
                <w:szCs w:val="32"/>
              </w:rPr>
              <w:t>员</w:t>
            </w:r>
          </w:p>
          <w:p>
            <w:pPr>
              <w:widowControl/>
              <w:jc w:val="center"/>
              <w:rPr>
                <w:rFonts w:hint="eastAsia" w:ascii="黑体" w:hAnsi="黑体" w:eastAsia="黑体" w:cs="Arial"/>
                <w:kern w:val="0"/>
                <w:sz w:val="32"/>
                <w:szCs w:val="32"/>
                <w:lang w:eastAsia="zh-CN"/>
              </w:rPr>
            </w:pPr>
            <w:r>
              <w:rPr>
                <w:rFonts w:hint="eastAsia" w:ascii="黑体" w:hAnsi="黑体" w:eastAsia="黑体" w:cs="Arial"/>
                <w:kern w:val="0"/>
                <w:sz w:val="32"/>
                <w:szCs w:val="32"/>
              </w:rPr>
              <w:t>单</w:t>
            </w:r>
          </w:p>
          <w:p>
            <w:pPr>
              <w:widowControl/>
              <w:jc w:val="center"/>
              <w:rPr>
                <w:rFonts w:ascii="黑体" w:hAnsi="黑体" w:eastAsia="黑体" w:cs="Arial"/>
                <w:kern w:val="0"/>
                <w:sz w:val="32"/>
                <w:szCs w:val="32"/>
              </w:rPr>
            </w:pPr>
            <w:r>
              <w:rPr>
                <w:rFonts w:hint="eastAsia" w:ascii="黑体" w:hAnsi="黑体" w:eastAsia="黑体" w:cs="Arial"/>
                <w:kern w:val="0"/>
                <w:sz w:val="32"/>
                <w:szCs w:val="32"/>
              </w:rPr>
              <w:t>位</w:t>
            </w: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Style w:val="22"/>
                <w:rFonts w:hint="default" w:cs="仿宋_GB2312" w:asciiTheme="minorEastAsia" w:hAnsiTheme="minorEastAsia" w:eastAsiaTheme="minorEastAsia"/>
                <w:color w:val="auto"/>
              </w:rPr>
            </w:pPr>
            <w:r>
              <w:rPr>
                <w:rStyle w:val="22"/>
                <w:rFonts w:hint="default" w:cs="仿宋_GB2312" w:asciiTheme="minorEastAsia" w:hAnsiTheme="minorEastAsia" w:eastAsiaTheme="minorEastAsia"/>
                <w:color w:val="auto"/>
              </w:rPr>
              <w:t>县工业和信息化局</w:t>
            </w:r>
          </w:p>
        </w:tc>
        <w:tc>
          <w:tcPr>
            <w:tcW w:w="10795" w:type="dxa"/>
            <w:gridSpan w:val="3"/>
            <w:tcBorders>
              <w:top w:val="nil"/>
              <w:left w:val="nil"/>
              <w:bottom w:val="single" w:color="auto" w:sz="4" w:space="0"/>
              <w:right w:val="single" w:color="auto" w:sz="4" w:space="0"/>
            </w:tcBorders>
            <w:shd w:val="clear" w:color="auto" w:fill="auto"/>
            <w:noWrap/>
            <w:vAlign w:val="center"/>
          </w:tcPr>
          <w:p>
            <w:pPr>
              <w:spacing w:line="340" w:lineRule="exact"/>
              <w:ind w:firstLine="480" w:firstLineChars="200"/>
            </w:pPr>
            <w:r>
              <w:rPr>
                <w:rFonts w:hint="eastAsia"/>
                <w:sz w:val="24"/>
              </w:rPr>
              <w:t>负责工业行业领域编制抗震救灾应急预案，监督指导本行业领域抗震救灾措施落实。协调处置网络安全突发事件及相关应急工作，保证指挥网络安全运行。</w:t>
            </w:r>
            <w:r>
              <w:rPr>
                <w:rStyle w:val="22"/>
                <w:rFonts w:hint="default" w:cs="仿宋_GB2312" w:asciiTheme="minorEastAsia" w:hAnsiTheme="minorEastAsia" w:eastAsiaTheme="minorEastAsia"/>
                <w:color w:val="auto"/>
              </w:rPr>
              <w:t>核实上报工业企业受损情况，指导工业、企业复工复产和工业生产自救；</w:t>
            </w:r>
            <w:r>
              <w:rPr>
                <w:rFonts w:hint="eastAsia"/>
                <w:sz w:val="24"/>
              </w:rPr>
              <w:t>制定部门相关应急预案，组织本系统做好地震灾害应对工作。</w:t>
            </w:r>
          </w:p>
        </w:tc>
      </w:tr>
      <w:tr>
        <w:tblPrEx>
          <w:tblCellMar>
            <w:top w:w="0" w:type="dxa"/>
            <w:left w:w="108" w:type="dxa"/>
            <w:bottom w:w="0" w:type="dxa"/>
            <w:right w:w="108" w:type="dxa"/>
          </w:tblCellMar>
        </w:tblPrEx>
        <w:trPr>
          <w:gridBefore w:val="1"/>
          <w:wBefore w:w="83" w:type="dxa"/>
          <w:trHeight w:val="801" w:hRule="atLeast"/>
          <w:jc w:val="right"/>
        </w:trPr>
        <w:tc>
          <w:tcPr>
            <w:tcW w:w="7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Style w:val="22"/>
                <w:rFonts w:hint="default" w:cs="仿宋_GB2312" w:asciiTheme="minorEastAsia" w:hAnsiTheme="minorEastAsia" w:eastAsiaTheme="minorEastAsia"/>
                <w:color w:val="auto"/>
              </w:rPr>
            </w:pPr>
            <w:r>
              <w:rPr>
                <w:rStyle w:val="22"/>
                <w:rFonts w:hint="default" w:cs="仿宋_GB2312" w:asciiTheme="minorEastAsia" w:hAnsiTheme="minorEastAsia" w:eastAsiaTheme="minorEastAsia"/>
                <w:color w:val="auto"/>
              </w:rPr>
              <w:t>县民政局</w:t>
            </w:r>
          </w:p>
        </w:tc>
        <w:tc>
          <w:tcPr>
            <w:tcW w:w="10795" w:type="dxa"/>
            <w:gridSpan w:val="3"/>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0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负责综合协调全县救灾救济工作，组织核查灾情，发布灾情；负责管理、分配救灾款物并监督使用；指导救灾捐赠；</w:t>
            </w:r>
            <w:r>
              <w:rPr>
                <w:rFonts w:hint="eastAsia"/>
              </w:rPr>
              <w:t>制定部门相关应急预案，组织本系统做好地震灾害应对工作</w:t>
            </w:r>
            <w:r>
              <w:rPr>
                <w:rStyle w:val="22"/>
                <w:rFonts w:hint="default" w:cs="仿宋_GB2312" w:asciiTheme="minorEastAsia" w:hAnsiTheme="minorEastAsia" w:eastAsiaTheme="minorEastAsia"/>
                <w:color w:val="auto"/>
                <w:kern w:val="2"/>
              </w:rPr>
              <w:t>。</w:t>
            </w:r>
          </w:p>
        </w:tc>
      </w:tr>
      <w:tr>
        <w:tblPrEx>
          <w:tblCellMar>
            <w:top w:w="0" w:type="dxa"/>
            <w:left w:w="108" w:type="dxa"/>
            <w:bottom w:w="0" w:type="dxa"/>
            <w:right w:w="108" w:type="dxa"/>
          </w:tblCellMar>
        </w:tblPrEx>
        <w:trPr>
          <w:gridBefore w:val="1"/>
          <w:wBefore w:w="83" w:type="dxa"/>
          <w:trHeight w:val="1050" w:hRule="atLeast"/>
          <w:jc w:val="right"/>
        </w:trPr>
        <w:tc>
          <w:tcPr>
            <w:tcW w:w="7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Style w:val="22"/>
                <w:rFonts w:hint="default" w:cs="仿宋_GB2312" w:asciiTheme="minorEastAsia" w:hAnsiTheme="minorEastAsia" w:eastAsiaTheme="minorEastAsia"/>
                <w:color w:val="auto"/>
              </w:rPr>
            </w:pPr>
            <w:r>
              <w:rPr>
                <w:rStyle w:val="22"/>
                <w:rFonts w:hint="default" w:cs="仿宋_GB2312" w:asciiTheme="minorEastAsia" w:hAnsiTheme="minorEastAsia" w:eastAsiaTheme="minorEastAsia"/>
                <w:color w:val="auto"/>
              </w:rPr>
              <w:t>县财政局</w:t>
            </w:r>
          </w:p>
        </w:tc>
        <w:tc>
          <w:tcPr>
            <w:tcW w:w="10795" w:type="dxa"/>
            <w:gridSpan w:val="3"/>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0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按照分级负担原则，负责救灾资金筹集、管理，配合做好财政救灾资金、政府间捐赠资金及其他社会捐赠资金使用管理；负责组织对所需应急救援物资的政府采购，并对县应急救援物资的采购、储存、调运所需资金予以保障；</w:t>
            </w:r>
            <w:r>
              <w:rPr>
                <w:rFonts w:hint="eastAsia"/>
              </w:rPr>
              <w:t>制定部门相关应急预案，组织本系统做好地震灾害应对工作。</w:t>
            </w:r>
          </w:p>
        </w:tc>
      </w:tr>
      <w:tr>
        <w:tblPrEx>
          <w:tblCellMar>
            <w:top w:w="0" w:type="dxa"/>
            <w:left w:w="108" w:type="dxa"/>
            <w:bottom w:w="0" w:type="dxa"/>
            <w:right w:w="108" w:type="dxa"/>
          </w:tblCellMar>
        </w:tblPrEx>
        <w:trPr>
          <w:gridBefore w:val="1"/>
          <w:wBefore w:w="83" w:type="dxa"/>
          <w:trHeight w:val="708" w:hRule="atLeast"/>
          <w:jc w:val="right"/>
        </w:trPr>
        <w:tc>
          <w:tcPr>
            <w:tcW w:w="7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仿宋_GB2312" w:asciiTheme="minorEastAsia" w:hAnsiTheme="minorEastAsia"/>
                <w:sz w:val="24"/>
              </w:rPr>
            </w:pPr>
            <w:r>
              <w:rPr>
                <w:rStyle w:val="22"/>
                <w:rFonts w:hint="default" w:cs="仿宋_GB2312" w:asciiTheme="minorEastAsia" w:hAnsiTheme="minorEastAsia" w:eastAsiaTheme="minorEastAsia"/>
                <w:color w:val="auto"/>
              </w:rPr>
              <w:t>县自然资源局</w:t>
            </w:r>
          </w:p>
        </w:tc>
        <w:tc>
          <w:tcPr>
            <w:tcW w:w="10795" w:type="dxa"/>
            <w:gridSpan w:val="3"/>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00" w:lineRule="exact"/>
              <w:ind w:firstLine="480" w:firstLineChars="200"/>
              <w:jc w:val="both"/>
              <w:rPr>
                <w:rFonts w:cs="仿宋_GB2312" w:asciiTheme="minorEastAsia" w:hAnsiTheme="minorEastAsia" w:eastAsiaTheme="minorEastAsia"/>
                <w:kern w:val="2"/>
              </w:rPr>
            </w:pPr>
            <w:r>
              <w:rPr>
                <w:rStyle w:val="22"/>
                <w:rFonts w:hint="default" w:cs="仿宋_GB2312" w:asciiTheme="minorEastAsia" w:hAnsiTheme="minorEastAsia" w:eastAsiaTheme="minorEastAsia"/>
                <w:color w:val="auto"/>
                <w:kern w:val="2"/>
              </w:rPr>
              <w:t>负责次生地质灾害应急调查、监测，指导地质灾害应急治理工程。</w:t>
            </w:r>
            <w:r>
              <w:rPr>
                <w:rFonts w:hint="eastAsia" w:ascii="宋体" w:hAnsi="宋体" w:cs="宋体"/>
              </w:rPr>
              <w:t>制定部门相关应急预案，组织本系统做好地震灾害应对工作。</w:t>
            </w:r>
          </w:p>
        </w:tc>
      </w:tr>
      <w:tr>
        <w:tblPrEx>
          <w:tblCellMar>
            <w:top w:w="0" w:type="dxa"/>
            <w:left w:w="108" w:type="dxa"/>
            <w:bottom w:w="0" w:type="dxa"/>
            <w:right w:w="108" w:type="dxa"/>
          </w:tblCellMar>
        </w:tblPrEx>
        <w:trPr>
          <w:gridBefore w:val="1"/>
          <w:wBefore w:w="83" w:type="dxa"/>
          <w:trHeight w:val="1081" w:hRule="atLeast"/>
          <w:jc w:val="right"/>
        </w:trPr>
        <w:tc>
          <w:tcPr>
            <w:tcW w:w="7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spacing w:line="300" w:lineRule="exact"/>
              <w:jc w:val="center"/>
              <w:rPr>
                <w:rStyle w:val="22"/>
                <w:rFonts w:hint="default" w:cs="仿宋_GB2312" w:asciiTheme="minorEastAsia" w:hAnsiTheme="minorEastAsia" w:eastAsiaTheme="minorEastAsia"/>
                <w:color w:val="auto"/>
              </w:rPr>
            </w:pPr>
            <w:r>
              <w:rPr>
                <w:rStyle w:val="22"/>
                <w:rFonts w:hint="default" w:cs="仿宋_GB2312" w:asciiTheme="minorEastAsia" w:hAnsiTheme="minorEastAsia" w:eastAsiaTheme="minorEastAsia"/>
                <w:color w:val="auto"/>
              </w:rPr>
              <w:t>县住房和城乡建设局</w:t>
            </w:r>
          </w:p>
        </w:tc>
        <w:tc>
          <w:tcPr>
            <w:tcW w:w="10795" w:type="dxa"/>
            <w:gridSpan w:val="3"/>
            <w:tcBorders>
              <w:top w:val="nil"/>
              <w:left w:val="nil"/>
              <w:bottom w:val="single" w:color="auto" w:sz="4" w:space="0"/>
              <w:right w:val="single" w:color="auto" w:sz="4" w:space="0"/>
            </w:tcBorders>
            <w:shd w:val="clear" w:color="auto" w:fill="auto"/>
            <w:noWrap/>
            <w:vAlign w:val="center"/>
          </w:tcPr>
          <w:p>
            <w:pPr>
              <w:spacing w:line="300" w:lineRule="exact"/>
              <w:ind w:firstLine="480" w:firstLineChars="200"/>
              <w:rPr>
                <w:rStyle w:val="22"/>
                <w:rFonts w:hint="default" w:cs="仿宋_GB2312" w:asciiTheme="minorEastAsia" w:hAnsiTheme="minorEastAsia" w:eastAsiaTheme="minorEastAsia"/>
                <w:color w:val="auto"/>
              </w:rPr>
            </w:pPr>
            <w:r>
              <w:rPr>
                <w:rStyle w:val="22"/>
                <w:rFonts w:hint="default" w:cs="仿宋_GB2312" w:asciiTheme="minorEastAsia" w:hAnsiTheme="minorEastAsia" w:eastAsiaTheme="minorEastAsia"/>
                <w:color w:val="auto"/>
              </w:rPr>
              <w:t>负责指导城市供水、排水、燃气、热力、道路照明等市政公用设施抢、排险工作；负责开展灾害损失调查评估和指导建筑物安全性鉴定工作；</w:t>
            </w:r>
            <w:r>
              <w:rPr>
                <w:rFonts w:hint="eastAsia"/>
                <w:sz w:val="24"/>
              </w:rPr>
              <w:t>制定部门相关应急预案，组织本系统做好地震灾害应对工作。</w:t>
            </w:r>
          </w:p>
        </w:tc>
      </w:tr>
      <w:tr>
        <w:tblPrEx>
          <w:tblCellMar>
            <w:top w:w="0" w:type="dxa"/>
            <w:left w:w="108" w:type="dxa"/>
            <w:bottom w:w="0" w:type="dxa"/>
            <w:right w:w="108" w:type="dxa"/>
          </w:tblCellMar>
        </w:tblPrEx>
        <w:trPr>
          <w:gridBefore w:val="1"/>
          <w:wBefore w:w="83" w:type="dxa"/>
          <w:trHeight w:val="1140" w:hRule="atLeast"/>
          <w:jc w:val="right"/>
        </w:trPr>
        <w:tc>
          <w:tcPr>
            <w:tcW w:w="776"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仿宋_GB2312" w:asciiTheme="minorEastAsia" w:hAnsiTheme="minorEastAsia"/>
                <w:kern w:val="0"/>
                <w:sz w:val="24"/>
              </w:rPr>
            </w:pPr>
            <w:r>
              <w:rPr>
                <w:rStyle w:val="22"/>
                <w:rFonts w:hint="default" w:cs="仿宋_GB2312" w:asciiTheme="minorEastAsia" w:hAnsiTheme="minorEastAsia" w:eastAsiaTheme="minorEastAsia"/>
                <w:color w:val="auto"/>
              </w:rPr>
              <w:t>县发展改革和科学技术局</w:t>
            </w:r>
          </w:p>
        </w:tc>
        <w:tc>
          <w:tcPr>
            <w:tcW w:w="10795" w:type="dxa"/>
            <w:gridSpan w:val="3"/>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40" w:lineRule="exact"/>
              <w:ind w:firstLine="480" w:firstLineChars="200"/>
              <w:jc w:val="both"/>
              <w:rPr>
                <w:rFonts w:cs="仿宋" w:asciiTheme="minorEastAsia" w:hAnsiTheme="minorEastAsia" w:eastAsiaTheme="minorEastAsia"/>
                <w:bCs/>
                <w:kern w:val="2"/>
              </w:rPr>
            </w:pPr>
            <w:r>
              <w:rPr>
                <w:rStyle w:val="22"/>
                <w:rFonts w:hint="default" w:cs="仿宋_GB2312" w:asciiTheme="minorEastAsia" w:hAnsiTheme="minorEastAsia" w:eastAsiaTheme="minorEastAsia"/>
                <w:color w:val="auto"/>
                <w:kern w:val="2"/>
              </w:rPr>
              <w:t>负责负责组织协调相关单位按照各自分工做好地震应急物资的储备、采购、调度工作，协调各部门积极推进应急基础设施建设和灾后重建工作；</w:t>
            </w:r>
            <w:r>
              <w:rPr>
                <w:rFonts w:hint="eastAsia"/>
              </w:rPr>
              <w:t>制定部门相关应急预案，组织本系统做好地震灾害应对工作。</w:t>
            </w:r>
          </w:p>
        </w:tc>
      </w:tr>
      <w:tr>
        <w:tblPrEx>
          <w:tblCellMar>
            <w:top w:w="0" w:type="dxa"/>
            <w:left w:w="108" w:type="dxa"/>
            <w:bottom w:w="0" w:type="dxa"/>
            <w:right w:w="108" w:type="dxa"/>
          </w:tblCellMar>
        </w:tblPrEx>
        <w:trPr>
          <w:gridBefore w:val="1"/>
          <w:wBefore w:w="83" w:type="dxa"/>
          <w:trHeight w:val="1140" w:hRule="atLeast"/>
          <w:jc w:val="right"/>
        </w:trPr>
        <w:tc>
          <w:tcPr>
            <w:tcW w:w="776" w:type="dxa"/>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5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仿宋_GB2312" w:asciiTheme="minorEastAsia" w:hAnsiTheme="minorEastAsia"/>
                <w:kern w:val="0"/>
                <w:sz w:val="24"/>
              </w:rPr>
            </w:pPr>
            <w:r>
              <w:rPr>
                <w:rStyle w:val="22"/>
                <w:rFonts w:hint="default" w:cs="仿宋_GB2312" w:asciiTheme="minorEastAsia" w:hAnsiTheme="minorEastAsia" w:eastAsiaTheme="minorEastAsia"/>
                <w:color w:val="auto"/>
              </w:rPr>
              <w:t>县交通运输局</w:t>
            </w:r>
          </w:p>
        </w:tc>
        <w:tc>
          <w:tcPr>
            <w:tcW w:w="10795" w:type="dxa"/>
            <w:gridSpan w:val="3"/>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40" w:lineRule="exact"/>
              <w:ind w:firstLine="480" w:firstLineChars="200"/>
              <w:jc w:val="both"/>
              <w:rPr>
                <w:rFonts w:cs="仿宋" w:asciiTheme="minorEastAsia" w:hAnsiTheme="minorEastAsia" w:eastAsiaTheme="minorEastAsia"/>
                <w:bCs/>
                <w:kern w:val="2"/>
              </w:rPr>
            </w:pPr>
            <w:r>
              <w:rPr>
                <w:rStyle w:val="22"/>
                <w:rFonts w:hint="default" w:cs="仿宋_GB2312" w:asciiTheme="minorEastAsia" w:hAnsiTheme="minorEastAsia" w:eastAsiaTheme="minorEastAsia"/>
                <w:color w:val="auto"/>
                <w:kern w:val="2"/>
              </w:rPr>
              <w:t>负责开辟抗震救灾绿色通道，</w:t>
            </w:r>
            <w:r>
              <w:rPr>
                <w:rFonts w:hint="eastAsia"/>
              </w:rPr>
              <w:t>及时组织公路、桥涵修复，保证抢险道路畅通；组织抗震抢险、救灾及重点工程的物资运输；</w:t>
            </w:r>
            <w:r>
              <w:rPr>
                <w:rStyle w:val="22"/>
                <w:rFonts w:hint="default" w:cs="仿宋_GB2312" w:asciiTheme="minorEastAsia" w:hAnsiTheme="minorEastAsia" w:eastAsiaTheme="minorEastAsia"/>
                <w:color w:val="auto"/>
                <w:kern w:val="2"/>
              </w:rPr>
              <w:t>协助调集、征用救灾车辆；负责</w:t>
            </w:r>
            <w:r>
              <w:rPr>
                <w:rFonts w:hint="eastAsia"/>
              </w:rPr>
              <w:t>组织协调运送抢险、救灾及撤离人员；制定部门相关应急预案，组织本系统做好地震灾害应对工作。</w:t>
            </w:r>
          </w:p>
        </w:tc>
      </w:tr>
      <w:tr>
        <w:tblPrEx>
          <w:tblCellMar>
            <w:top w:w="0" w:type="dxa"/>
            <w:left w:w="108" w:type="dxa"/>
            <w:bottom w:w="0" w:type="dxa"/>
            <w:right w:w="108" w:type="dxa"/>
          </w:tblCellMar>
        </w:tblPrEx>
        <w:trPr>
          <w:gridAfter w:val="1"/>
          <w:wAfter w:w="161" w:type="dxa"/>
          <w:trHeight w:val="845" w:hRule="atLeast"/>
          <w:jc w:val="right"/>
        </w:trPr>
        <w:tc>
          <w:tcPr>
            <w:tcW w:w="38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Arial"/>
                <w:kern w:val="0"/>
                <w:sz w:val="32"/>
                <w:szCs w:val="32"/>
              </w:rPr>
            </w:pPr>
            <w:r>
              <w:rPr>
                <w:rFonts w:hint="eastAsia" w:ascii="黑体" w:hAnsi="黑体" w:eastAsia="黑体" w:cs="Arial"/>
                <w:kern w:val="0"/>
                <w:sz w:val="32"/>
                <w:szCs w:val="32"/>
              </w:rPr>
              <w:t>指挥机构</w:t>
            </w:r>
          </w:p>
        </w:tc>
        <w:tc>
          <w:tcPr>
            <w:tcW w:w="102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黑体" w:hAnsi="黑体" w:eastAsia="黑体" w:cs="Arial"/>
                <w:kern w:val="0"/>
                <w:sz w:val="32"/>
                <w:szCs w:val="32"/>
              </w:rPr>
            </w:pPr>
            <w:r>
              <w:rPr>
                <w:rFonts w:hint="eastAsia" w:ascii="黑体" w:hAnsi="黑体" w:eastAsia="黑体" w:cs="Arial"/>
                <w:kern w:val="0"/>
                <w:sz w:val="32"/>
                <w:szCs w:val="32"/>
              </w:rPr>
              <w:t>职  责</w:t>
            </w:r>
          </w:p>
        </w:tc>
      </w:tr>
      <w:tr>
        <w:tblPrEx>
          <w:tblCellMar>
            <w:top w:w="0" w:type="dxa"/>
            <w:left w:w="108" w:type="dxa"/>
            <w:bottom w:w="0" w:type="dxa"/>
            <w:right w:w="108" w:type="dxa"/>
          </w:tblCellMar>
        </w:tblPrEx>
        <w:trPr>
          <w:gridAfter w:val="1"/>
          <w:wAfter w:w="161" w:type="dxa"/>
          <w:trHeight w:val="1127" w:hRule="atLeast"/>
          <w:jc w:val="right"/>
        </w:trPr>
        <w:tc>
          <w:tcPr>
            <w:tcW w:w="960"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黑体" w:hAnsi="黑体" w:eastAsia="黑体" w:cs="Arial"/>
                <w:kern w:val="0"/>
                <w:sz w:val="32"/>
                <w:szCs w:val="32"/>
                <w:lang w:eastAsia="zh-CN"/>
              </w:rPr>
            </w:pPr>
            <w:r>
              <w:rPr>
                <w:rFonts w:hint="eastAsia" w:ascii="黑体" w:hAnsi="黑体" w:eastAsia="黑体" w:cs="Arial"/>
                <w:kern w:val="0"/>
                <w:sz w:val="32"/>
                <w:szCs w:val="32"/>
              </w:rPr>
              <w:t>成</w:t>
            </w:r>
          </w:p>
          <w:p>
            <w:pPr>
              <w:widowControl/>
              <w:jc w:val="center"/>
              <w:rPr>
                <w:rFonts w:hint="eastAsia" w:ascii="黑体" w:hAnsi="黑体" w:eastAsia="黑体" w:cs="Arial"/>
                <w:kern w:val="0"/>
                <w:sz w:val="32"/>
                <w:szCs w:val="32"/>
                <w:lang w:eastAsia="zh-CN"/>
              </w:rPr>
            </w:pPr>
            <w:r>
              <w:rPr>
                <w:rFonts w:hint="eastAsia" w:ascii="黑体" w:hAnsi="黑体" w:eastAsia="黑体" w:cs="Arial"/>
                <w:kern w:val="0"/>
                <w:sz w:val="32"/>
                <w:szCs w:val="32"/>
              </w:rPr>
              <w:t>员</w:t>
            </w:r>
          </w:p>
          <w:p>
            <w:pPr>
              <w:widowControl/>
              <w:jc w:val="center"/>
              <w:rPr>
                <w:rFonts w:hint="eastAsia" w:ascii="黑体" w:hAnsi="黑体" w:eastAsia="黑体" w:cs="Arial"/>
                <w:kern w:val="0"/>
                <w:sz w:val="32"/>
                <w:szCs w:val="32"/>
                <w:lang w:eastAsia="zh-CN"/>
              </w:rPr>
            </w:pPr>
            <w:r>
              <w:rPr>
                <w:rFonts w:hint="eastAsia" w:ascii="黑体" w:hAnsi="黑体" w:eastAsia="黑体" w:cs="Arial"/>
                <w:kern w:val="0"/>
                <w:sz w:val="32"/>
                <w:szCs w:val="32"/>
              </w:rPr>
              <w:t>单</w:t>
            </w:r>
          </w:p>
          <w:p>
            <w:pPr>
              <w:widowControl/>
              <w:jc w:val="center"/>
              <w:rPr>
                <w:rFonts w:ascii="黑体" w:hAnsi="黑体" w:eastAsia="黑体" w:cs="Arial"/>
                <w:kern w:val="0"/>
                <w:sz w:val="32"/>
                <w:szCs w:val="32"/>
              </w:rPr>
            </w:pPr>
            <w:r>
              <w:rPr>
                <w:rFonts w:hint="eastAsia" w:ascii="黑体" w:hAnsi="黑体" w:eastAsia="黑体" w:cs="Arial"/>
                <w:kern w:val="0"/>
                <w:sz w:val="32"/>
                <w:szCs w:val="32"/>
              </w:rPr>
              <w:t>位</w:t>
            </w:r>
          </w:p>
        </w:tc>
        <w:tc>
          <w:tcPr>
            <w:tcW w:w="2860"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县水利局</w:t>
            </w:r>
          </w:p>
        </w:tc>
        <w:tc>
          <w:tcPr>
            <w:tcW w:w="10229" w:type="dxa"/>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4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负责水库、河道、堤坝等水利设施的监控、防范、处置、抢险和隐患排查在治理工作；</w:t>
            </w:r>
            <w:r>
              <w:rPr>
                <w:rFonts w:hint="eastAsia"/>
              </w:rPr>
              <w:t>指导河道、水库、闸坝等水工程管理单位开展汛期巡查；组织实施水利工程修复养护。组织指导全县水利物资储备与管理，制定部门相关应急预案，组织本系统做好地震灾害应对工作。</w:t>
            </w:r>
          </w:p>
        </w:tc>
      </w:tr>
      <w:tr>
        <w:tblPrEx>
          <w:tblCellMar>
            <w:top w:w="0" w:type="dxa"/>
            <w:left w:w="108" w:type="dxa"/>
            <w:bottom w:w="0" w:type="dxa"/>
            <w:right w:w="108" w:type="dxa"/>
          </w:tblCellMar>
        </w:tblPrEx>
        <w:trPr>
          <w:gridAfter w:val="1"/>
          <w:wAfter w:w="161" w:type="dxa"/>
          <w:trHeight w:val="832" w:hRule="atLeast"/>
          <w:jc w:val="right"/>
        </w:trPr>
        <w:tc>
          <w:tcPr>
            <w:tcW w:w="96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860"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县农业农村局</w:t>
            </w:r>
          </w:p>
        </w:tc>
        <w:tc>
          <w:tcPr>
            <w:tcW w:w="10229" w:type="dxa"/>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4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负责综合协调灾区动物疫情防治工作；负责农业生产自救，核实受损情况，指导制定农业恢复生产方案，指导县农业生产恢复；</w:t>
            </w:r>
            <w:r>
              <w:rPr>
                <w:rFonts w:hint="eastAsia"/>
              </w:rPr>
              <w:t>制定部门相关应急预案，组织本系统做好地震灾害应对工作。</w:t>
            </w:r>
          </w:p>
        </w:tc>
      </w:tr>
      <w:tr>
        <w:tblPrEx>
          <w:tblCellMar>
            <w:top w:w="0" w:type="dxa"/>
            <w:left w:w="108" w:type="dxa"/>
            <w:bottom w:w="0" w:type="dxa"/>
            <w:right w:w="108" w:type="dxa"/>
          </w:tblCellMar>
        </w:tblPrEx>
        <w:trPr>
          <w:gridAfter w:val="1"/>
          <w:wAfter w:w="161" w:type="dxa"/>
          <w:trHeight w:val="703" w:hRule="atLeast"/>
          <w:jc w:val="right"/>
        </w:trPr>
        <w:tc>
          <w:tcPr>
            <w:tcW w:w="96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860"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县文化和旅游局</w:t>
            </w:r>
          </w:p>
        </w:tc>
        <w:tc>
          <w:tcPr>
            <w:tcW w:w="10229" w:type="dxa"/>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4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负责指导旅游景区和旅行社做好游客疏散和安抚工作；指导文化和旅游业开展地震应急宣传；负责灾区内重点文物受损情况核实；</w:t>
            </w:r>
            <w:r>
              <w:rPr>
                <w:rFonts w:hint="eastAsia"/>
              </w:rPr>
              <w:t>制定部门应急预案，组织本系统做好地震灾害应对工作。</w:t>
            </w:r>
          </w:p>
        </w:tc>
      </w:tr>
      <w:tr>
        <w:tblPrEx>
          <w:tblCellMar>
            <w:top w:w="0" w:type="dxa"/>
            <w:left w:w="108" w:type="dxa"/>
            <w:bottom w:w="0" w:type="dxa"/>
            <w:right w:w="108" w:type="dxa"/>
          </w:tblCellMar>
        </w:tblPrEx>
        <w:trPr>
          <w:gridAfter w:val="1"/>
          <w:wAfter w:w="161" w:type="dxa"/>
          <w:trHeight w:val="1034" w:hRule="atLeast"/>
          <w:jc w:val="right"/>
        </w:trPr>
        <w:tc>
          <w:tcPr>
            <w:tcW w:w="96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860"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县卫生健康和体育局、县疾病预防控制中心</w:t>
            </w:r>
          </w:p>
        </w:tc>
        <w:tc>
          <w:tcPr>
            <w:tcW w:w="10229" w:type="dxa"/>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4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负责统筹调派紧急医学救援力量，设置救护场所或临时医疗点，开展伤员现场急救、转运和救治；组织开展灾区消杀防疫、生活用水卫生监测；组织巡回医疗队，向灾区群众和救援人员提供医疗服务和心理援助；</w:t>
            </w:r>
            <w:r>
              <w:rPr>
                <w:rFonts w:hint="eastAsia"/>
              </w:rPr>
              <w:t>制定部门应急预案，组织本系统做好地震灾害应对工作。</w:t>
            </w:r>
          </w:p>
        </w:tc>
      </w:tr>
      <w:tr>
        <w:tblPrEx>
          <w:tblCellMar>
            <w:top w:w="0" w:type="dxa"/>
            <w:left w:w="108" w:type="dxa"/>
            <w:bottom w:w="0" w:type="dxa"/>
            <w:right w:w="108" w:type="dxa"/>
          </w:tblCellMar>
        </w:tblPrEx>
        <w:trPr>
          <w:gridAfter w:val="1"/>
          <w:wAfter w:w="161" w:type="dxa"/>
          <w:trHeight w:val="375" w:hRule="atLeast"/>
          <w:jc w:val="right"/>
        </w:trPr>
        <w:tc>
          <w:tcPr>
            <w:tcW w:w="96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860" w:type="dxa"/>
            <w:gridSpan w:val="2"/>
            <w:tcBorders>
              <w:top w:val="nil"/>
              <w:left w:val="nil"/>
              <w:bottom w:val="single" w:color="auto" w:sz="4" w:space="0"/>
              <w:right w:val="single" w:color="auto" w:sz="4" w:space="0"/>
            </w:tcBorders>
            <w:shd w:val="clear" w:color="auto" w:fill="auto"/>
            <w:noWrap/>
            <w:vAlign w:val="center"/>
          </w:tcPr>
          <w:p>
            <w:pPr>
              <w:pStyle w:val="24"/>
              <w:spacing w:before="177"/>
              <w:ind w:right="96"/>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县林业和草原局</w:t>
            </w:r>
          </w:p>
        </w:tc>
        <w:tc>
          <w:tcPr>
            <w:tcW w:w="10229" w:type="dxa"/>
            <w:tcBorders>
              <w:top w:val="nil"/>
              <w:left w:val="nil"/>
              <w:bottom w:val="single" w:color="auto" w:sz="4" w:space="0"/>
              <w:right w:val="single" w:color="auto" w:sz="4" w:space="0"/>
            </w:tcBorders>
            <w:shd w:val="clear" w:color="auto" w:fill="auto"/>
            <w:noWrap/>
          </w:tcPr>
          <w:p>
            <w:pPr>
              <w:pStyle w:val="24"/>
              <w:spacing w:line="340" w:lineRule="exact"/>
              <w:ind w:firstLine="480" w:firstLineChars="200"/>
              <w:rPr>
                <w:sz w:val="24"/>
              </w:rPr>
            </w:pPr>
            <w:r>
              <w:rPr>
                <w:rFonts w:hint="eastAsia"/>
                <w:sz w:val="24"/>
              </w:rPr>
              <w:t>负责开展林草和园林地震灾害监测、预报、评价、防治和生产自救、灾害处置等工作；负责统计全县林草和县城园林洪涝灾害损失，制定部门相关应急预案，组织本系统做好地震灾害应对工作。</w:t>
            </w:r>
          </w:p>
        </w:tc>
      </w:tr>
      <w:tr>
        <w:tblPrEx>
          <w:tblCellMar>
            <w:top w:w="0" w:type="dxa"/>
            <w:left w:w="108" w:type="dxa"/>
            <w:bottom w:w="0" w:type="dxa"/>
            <w:right w:w="108" w:type="dxa"/>
          </w:tblCellMar>
        </w:tblPrEx>
        <w:trPr>
          <w:gridAfter w:val="1"/>
          <w:wAfter w:w="161" w:type="dxa"/>
          <w:trHeight w:val="375" w:hRule="atLeast"/>
          <w:jc w:val="right"/>
        </w:trPr>
        <w:tc>
          <w:tcPr>
            <w:tcW w:w="96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860" w:type="dxa"/>
            <w:gridSpan w:val="2"/>
            <w:tcBorders>
              <w:top w:val="nil"/>
              <w:left w:val="nil"/>
              <w:bottom w:val="single" w:color="auto" w:sz="4" w:space="0"/>
              <w:right w:val="single" w:color="auto" w:sz="4" w:space="0"/>
            </w:tcBorders>
            <w:shd w:val="clear" w:color="auto" w:fill="auto"/>
            <w:noWrap/>
            <w:vAlign w:val="center"/>
          </w:tcPr>
          <w:p>
            <w:pPr>
              <w:spacing w:line="300" w:lineRule="exact"/>
              <w:jc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县市场监督管理局</w:t>
            </w:r>
          </w:p>
        </w:tc>
        <w:tc>
          <w:tcPr>
            <w:tcW w:w="10229" w:type="dxa"/>
            <w:tcBorders>
              <w:top w:val="nil"/>
              <w:left w:val="nil"/>
              <w:bottom w:val="single" w:color="auto" w:sz="4" w:space="0"/>
              <w:right w:val="single" w:color="auto" w:sz="4" w:space="0"/>
            </w:tcBorders>
            <w:shd w:val="clear" w:color="auto" w:fill="auto"/>
            <w:noWrap/>
            <w:vAlign w:val="center"/>
          </w:tcPr>
          <w:p>
            <w:pPr>
              <w:spacing w:line="340" w:lineRule="exact"/>
              <w:ind w:firstLine="480" w:firstLineChars="200"/>
              <w:rPr>
                <w:rStyle w:val="22"/>
                <w:rFonts w:hint="default" w:cs="仿宋_GB2312" w:asciiTheme="minorEastAsia" w:hAnsiTheme="minorEastAsia" w:eastAsiaTheme="minorEastAsia"/>
                <w:color w:val="auto"/>
              </w:rPr>
            </w:pPr>
            <w:r>
              <w:rPr>
                <w:rStyle w:val="22"/>
                <w:rFonts w:hint="default" w:cs="仿宋_GB2312" w:asciiTheme="minorEastAsia" w:hAnsiTheme="minorEastAsia" w:eastAsiaTheme="minorEastAsia"/>
                <w:color w:val="auto"/>
              </w:rPr>
              <w:t>负责救灾物品质量监管；负责救灾餐饮食品的安全和药品、医疗器械的监督管理；</w:t>
            </w:r>
            <w:r>
              <w:rPr>
                <w:rFonts w:hint="eastAsia"/>
                <w:sz w:val="24"/>
              </w:rPr>
              <w:t>制定部门相关应急预案，组织本系统做好地震灾害应对工作。</w:t>
            </w:r>
          </w:p>
        </w:tc>
      </w:tr>
      <w:tr>
        <w:tblPrEx>
          <w:tblCellMar>
            <w:top w:w="0" w:type="dxa"/>
            <w:left w:w="108" w:type="dxa"/>
            <w:bottom w:w="0" w:type="dxa"/>
            <w:right w:w="108" w:type="dxa"/>
          </w:tblCellMar>
        </w:tblPrEx>
        <w:trPr>
          <w:gridAfter w:val="1"/>
          <w:wAfter w:w="161" w:type="dxa"/>
          <w:trHeight w:val="375" w:hRule="atLeast"/>
          <w:jc w:val="right"/>
        </w:trPr>
        <w:tc>
          <w:tcPr>
            <w:tcW w:w="96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860"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kern w:val="0"/>
                <w:sz w:val="24"/>
              </w:rPr>
            </w:pPr>
            <w:r>
              <w:rPr>
                <w:rStyle w:val="22"/>
                <w:rFonts w:hint="eastAsia" w:asciiTheme="minorEastAsia" w:hAnsiTheme="minorEastAsia" w:eastAsiaTheme="minorEastAsia" w:cstheme="minorEastAsia"/>
                <w:color w:val="auto"/>
              </w:rPr>
              <w:t>县能源局</w:t>
            </w:r>
          </w:p>
        </w:tc>
        <w:tc>
          <w:tcPr>
            <w:tcW w:w="10229" w:type="dxa"/>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40" w:lineRule="exact"/>
              <w:ind w:firstLine="480" w:firstLineChars="200"/>
              <w:jc w:val="both"/>
              <w:rPr>
                <w:rFonts w:cs="仿宋" w:asciiTheme="minorEastAsia" w:hAnsiTheme="minorEastAsia" w:eastAsiaTheme="minorEastAsia"/>
                <w:bCs/>
                <w:kern w:val="2"/>
              </w:rPr>
            </w:pPr>
            <w:r>
              <w:rPr>
                <w:rStyle w:val="22"/>
                <w:rFonts w:hint="default" w:cs="仿宋_GB2312" w:asciiTheme="minorEastAsia" w:hAnsiTheme="minorEastAsia" w:eastAsiaTheme="minorEastAsia"/>
                <w:color w:val="auto"/>
                <w:kern w:val="2"/>
              </w:rPr>
              <w:t>负责指导协调电力、新能源和可再生能源等能源企业开展地震次生灾害抢险排险工作；组织协调灾区油气管道保护工作；</w:t>
            </w:r>
            <w:r>
              <w:rPr>
                <w:rFonts w:hint="eastAsia"/>
              </w:rPr>
              <w:t>制定部门相关应急预案，组织本系统做好地震灾害应对工作。</w:t>
            </w:r>
          </w:p>
        </w:tc>
      </w:tr>
      <w:tr>
        <w:tblPrEx>
          <w:tblCellMar>
            <w:top w:w="0" w:type="dxa"/>
            <w:left w:w="108" w:type="dxa"/>
            <w:bottom w:w="0" w:type="dxa"/>
            <w:right w:w="108" w:type="dxa"/>
          </w:tblCellMar>
        </w:tblPrEx>
        <w:trPr>
          <w:gridAfter w:val="1"/>
          <w:wAfter w:w="161" w:type="dxa"/>
          <w:trHeight w:val="375" w:hRule="atLeast"/>
          <w:jc w:val="right"/>
        </w:trPr>
        <w:tc>
          <w:tcPr>
            <w:tcW w:w="960"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Arial"/>
                <w:kern w:val="0"/>
                <w:sz w:val="32"/>
                <w:szCs w:val="32"/>
              </w:rPr>
            </w:pPr>
          </w:p>
        </w:tc>
        <w:tc>
          <w:tcPr>
            <w:tcW w:w="2860"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县公安局、</w:t>
            </w:r>
            <w:r>
              <w:rPr>
                <w:rFonts w:hint="eastAsia" w:asciiTheme="minorEastAsia" w:hAnsiTheme="minorEastAsia" w:eastAsiaTheme="minorEastAsia" w:cstheme="minorEastAsia"/>
                <w:kern w:val="0"/>
                <w:sz w:val="24"/>
              </w:rPr>
              <w:t>县交警大队</w:t>
            </w:r>
          </w:p>
        </w:tc>
        <w:tc>
          <w:tcPr>
            <w:tcW w:w="10229" w:type="dxa"/>
            <w:tcBorders>
              <w:top w:val="nil"/>
              <w:left w:val="nil"/>
              <w:bottom w:val="single" w:color="auto" w:sz="4" w:space="0"/>
              <w:right w:val="single" w:color="auto" w:sz="4" w:space="0"/>
            </w:tcBorders>
            <w:shd w:val="clear" w:color="auto" w:fill="auto"/>
            <w:noWrap/>
            <w:vAlign w:val="center"/>
          </w:tcPr>
          <w:p>
            <w:pPr>
              <w:pStyle w:val="10"/>
              <w:spacing w:before="0" w:beforeAutospacing="0" w:after="0" w:afterAutospacing="0" w:line="34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负责灾区社会治安管理和重点目标的安全保卫，制订预防和打击震后各种违法犯罪活动的实施方案；负责灾区及周边道路、高速公路的交通管制和疏导，维护交通秩序，保障市抗震救灾指挥部与灾区间的救援通道畅通。</w:t>
            </w:r>
          </w:p>
        </w:tc>
      </w:tr>
    </w:tbl>
    <w:p/>
    <w:tbl>
      <w:tblPr>
        <w:tblStyle w:val="11"/>
        <w:tblW w:w="1394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81"/>
        <w:gridCol w:w="2696"/>
        <w:gridCol w:w="1026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97" w:hRule="atLeast"/>
          <w:jc w:val="center"/>
        </w:trPr>
        <w:tc>
          <w:tcPr>
            <w:tcW w:w="3677" w:type="dxa"/>
            <w:gridSpan w:val="2"/>
            <w:tcBorders>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cs="仿宋" w:asciiTheme="minorEastAsia" w:hAnsiTheme="minorEastAsia"/>
                <w:kern w:val="0"/>
                <w:sz w:val="32"/>
                <w:szCs w:val="32"/>
              </w:rPr>
            </w:pPr>
            <w:r>
              <w:rPr>
                <w:rFonts w:hint="eastAsia" w:cs="黑体" w:asciiTheme="minorEastAsia" w:hAnsiTheme="minorEastAsia"/>
                <w:kern w:val="0"/>
                <w:sz w:val="32"/>
                <w:szCs w:val="32"/>
              </w:rPr>
              <w:t>指挥机构</w:t>
            </w:r>
          </w:p>
        </w:tc>
        <w:tc>
          <w:tcPr>
            <w:tcW w:w="10264" w:type="dxa"/>
            <w:tcBorders>
              <w:left w:val="single" w:color="auto" w:sz="4" w:space="0"/>
              <w:bottom w:val="single" w:color="auto" w:sz="4" w:space="0"/>
            </w:tcBorders>
            <w:noWrap/>
            <w:tcMar>
              <w:top w:w="15" w:type="dxa"/>
              <w:left w:w="15" w:type="dxa"/>
              <w:right w:w="15" w:type="dxa"/>
            </w:tcMar>
            <w:vAlign w:val="center"/>
          </w:tcPr>
          <w:p>
            <w:pPr>
              <w:pStyle w:val="10"/>
              <w:spacing w:before="0" w:beforeAutospacing="0" w:after="0" w:afterAutospacing="0" w:line="360" w:lineRule="exact"/>
              <w:jc w:val="center"/>
              <w:rPr>
                <w:rFonts w:cs="仿宋" w:asciiTheme="minorEastAsia" w:hAnsiTheme="minorEastAsia" w:eastAsiaTheme="minorEastAsia"/>
                <w:bCs/>
                <w:kern w:val="2"/>
                <w:sz w:val="32"/>
                <w:szCs w:val="32"/>
              </w:rPr>
            </w:pPr>
            <w:r>
              <w:rPr>
                <w:rFonts w:hint="eastAsia" w:cs="黑体" w:asciiTheme="minorEastAsia" w:hAnsiTheme="minorEastAsia" w:eastAsiaTheme="minorEastAsia"/>
                <w:sz w:val="32"/>
                <w:szCs w:val="32"/>
              </w:rPr>
              <w:t>职  责</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98" w:hRule="atLeast"/>
          <w:jc w:val="center"/>
        </w:trPr>
        <w:tc>
          <w:tcPr>
            <w:tcW w:w="981" w:type="dxa"/>
            <w:vMerge w:val="restart"/>
            <w:tcBorders>
              <w:right w:val="single" w:color="auto" w:sz="4" w:space="0"/>
            </w:tcBorders>
            <w:noWrap/>
            <w:tcMar>
              <w:top w:w="15" w:type="dxa"/>
              <w:left w:w="15" w:type="dxa"/>
              <w:right w:w="15" w:type="dxa"/>
            </w:tcMar>
            <w:vAlign w:val="center"/>
          </w:tcPr>
          <w:p>
            <w:pPr>
              <w:spacing w:line="360" w:lineRule="auto"/>
              <w:jc w:val="center"/>
              <w:rPr>
                <w:rFonts w:ascii="仿宋_GB2312" w:hAnsi="仿宋_GB2312" w:cs="仿宋_GB2312"/>
                <w:szCs w:val="32"/>
              </w:rPr>
            </w:pPr>
            <w:r>
              <w:rPr>
                <w:rFonts w:hint="eastAsia" w:ascii="仿宋_GB2312" w:hAnsi="仿宋_GB2312" w:cs="仿宋_GB2312"/>
                <w:szCs w:val="32"/>
              </w:rPr>
              <w:t>成</w:t>
            </w:r>
          </w:p>
          <w:p>
            <w:pPr>
              <w:spacing w:line="360" w:lineRule="auto"/>
              <w:jc w:val="center"/>
              <w:rPr>
                <w:rFonts w:ascii="仿宋_GB2312" w:hAnsi="仿宋_GB2312" w:cs="仿宋_GB2312"/>
                <w:szCs w:val="32"/>
              </w:rPr>
            </w:pPr>
            <w:r>
              <w:rPr>
                <w:rFonts w:hint="eastAsia" w:ascii="仿宋_GB2312" w:hAnsi="仿宋_GB2312" w:cs="仿宋_GB2312"/>
                <w:szCs w:val="32"/>
              </w:rPr>
              <w:t>员</w:t>
            </w:r>
          </w:p>
          <w:p>
            <w:pPr>
              <w:spacing w:line="360" w:lineRule="auto"/>
              <w:jc w:val="center"/>
              <w:rPr>
                <w:rFonts w:ascii="仿宋_GB2312" w:hAnsi="仿宋_GB2312" w:cs="仿宋_GB2312"/>
                <w:szCs w:val="32"/>
              </w:rPr>
            </w:pPr>
            <w:r>
              <w:rPr>
                <w:rFonts w:hint="eastAsia" w:ascii="仿宋_GB2312" w:hAnsi="仿宋_GB2312" w:cs="仿宋_GB2312"/>
                <w:szCs w:val="32"/>
              </w:rPr>
              <w:t>单</w:t>
            </w:r>
          </w:p>
          <w:p>
            <w:pPr>
              <w:spacing w:line="360" w:lineRule="auto"/>
              <w:jc w:val="center"/>
              <w:rPr>
                <w:rFonts w:ascii="仿宋_GB2312" w:hAnsi="仿宋_GB2312" w:cs="仿宋_GB2312"/>
                <w:b/>
                <w:bCs/>
                <w:kern w:val="0"/>
                <w:sz w:val="24"/>
              </w:rPr>
            </w:pPr>
            <w:r>
              <w:rPr>
                <w:rFonts w:hint="eastAsia" w:ascii="仿宋_GB2312" w:hAnsi="仿宋_GB2312" w:cs="仿宋_GB2312"/>
                <w:szCs w:val="32"/>
              </w:rPr>
              <w:t>位</w:t>
            </w:r>
          </w:p>
        </w:tc>
        <w:tc>
          <w:tcPr>
            <w:tcW w:w="2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共青团县委</w:t>
            </w:r>
            <w:bookmarkStart w:id="84" w:name="_GoBack"/>
            <w:bookmarkEnd w:id="84"/>
          </w:p>
        </w:tc>
        <w:tc>
          <w:tcPr>
            <w:tcW w:w="10264" w:type="dxa"/>
            <w:tcBorders>
              <w:top w:val="single" w:color="auto" w:sz="4" w:space="0"/>
              <w:left w:val="single" w:color="auto" w:sz="4" w:space="0"/>
              <w:bottom w:val="single" w:color="auto" w:sz="4" w:space="0"/>
            </w:tcBorders>
            <w:noWrap/>
            <w:tcMar>
              <w:top w:w="15" w:type="dxa"/>
              <w:left w:w="15" w:type="dxa"/>
              <w:right w:w="15" w:type="dxa"/>
            </w:tcMar>
            <w:vAlign w:val="center"/>
          </w:tcPr>
          <w:p>
            <w:pPr>
              <w:pStyle w:val="10"/>
              <w:spacing w:before="0" w:beforeAutospacing="0" w:after="0" w:afterAutospacing="0" w:line="30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负责动员青年志愿者为救灾救助提供应急志愿服务；开展自然灾害预防、避险和自救、互救的知识宣传。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72" w:hRule="atLeast"/>
          <w:jc w:val="center"/>
        </w:trPr>
        <w:tc>
          <w:tcPr>
            <w:tcW w:w="981" w:type="dxa"/>
            <w:vMerge w:val="continue"/>
            <w:tcBorders>
              <w:right w:val="single" w:color="auto" w:sz="4" w:space="0"/>
            </w:tcBorders>
            <w:noWrap/>
            <w:tcMar>
              <w:top w:w="15" w:type="dxa"/>
              <w:left w:w="15" w:type="dxa"/>
              <w:right w:w="15" w:type="dxa"/>
            </w:tcMar>
            <w:vAlign w:val="center"/>
          </w:tcPr>
          <w:p>
            <w:pPr>
              <w:spacing w:line="360" w:lineRule="auto"/>
              <w:jc w:val="center"/>
              <w:rPr>
                <w:rFonts w:ascii="仿宋_GB2312" w:hAnsi="仿宋_GB2312" w:cs="仿宋_GB2312"/>
                <w:szCs w:val="32"/>
              </w:rPr>
            </w:pPr>
          </w:p>
        </w:tc>
        <w:tc>
          <w:tcPr>
            <w:tcW w:w="2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　县融媒体中心</w:t>
            </w:r>
          </w:p>
        </w:tc>
        <w:tc>
          <w:tcPr>
            <w:tcW w:w="10264" w:type="dxa"/>
            <w:tcBorders>
              <w:top w:val="single" w:color="auto" w:sz="4" w:space="0"/>
              <w:left w:val="single" w:color="auto" w:sz="4" w:space="0"/>
              <w:bottom w:val="single" w:color="auto" w:sz="4" w:space="0"/>
            </w:tcBorders>
            <w:noWrap/>
            <w:tcMar>
              <w:top w:w="15" w:type="dxa"/>
              <w:left w:w="15" w:type="dxa"/>
              <w:right w:w="15" w:type="dxa"/>
            </w:tcMar>
            <w:vAlign w:val="center"/>
          </w:tcPr>
          <w:p>
            <w:pPr>
              <w:widowControl/>
              <w:rPr>
                <w:rFonts w:ascii="宋体" w:hAnsi="宋体" w:eastAsia="宋体" w:cs="Arial"/>
                <w:kern w:val="0"/>
                <w:sz w:val="24"/>
              </w:rPr>
            </w:pPr>
            <w:r>
              <w:rPr>
                <w:rFonts w:hint="eastAsia" w:ascii="宋体" w:hAnsi="宋体" w:eastAsia="宋体" w:cs="Arial"/>
                <w:kern w:val="0"/>
                <w:sz w:val="24"/>
              </w:rPr>
              <w:t>　</w:t>
            </w:r>
            <w:r>
              <w:rPr>
                <w:rFonts w:hint="eastAsia"/>
                <w:sz w:val="24"/>
              </w:rPr>
              <w:t>负责及时向公众滚动播发地震灾害预警、信息和抗震救灾通知；及时准确报道经县指挥部审定的地震灾害灾情和各地抗震救灾动态信息，制定部门应急预案，组织本系统做好地震灾害应对工作。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97" w:hRule="atLeast"/>
          <w:jc w:val="center"/>
        </w:trPr>
        <w:tc>
          <w:tcPr>
            <w:tcW w:w="981" w:type="dxa"/>
            <w:vMerge w:val="continue"/>
            <w:tcBorders>
              <w:right w:val="single" w:color="auto" w:sz="4" w:space="0"/>
            </w:tcBorders>
            <w:noWrap/>
            <w:tcMar>
              <w:top w:w="15" w:type="dxa"/>
              <w:left w:w="15" w:type="dxa"/>
              <w:right w:w="15" w:type="dxa"/>
            </w:tcMar>
            <w:vAlign w:val="center"/>
          </w:tcPr>
          <w:p>
            <w:pPr>
              <w:spacing w:line="360" w:lineRule="auto"/>
              <w:jc w:val="center"/>
              <w:rPr>
                <w:rFonts w:ascii="仿宋_GB2312" w:hAnsi="仿宋_GB2312" w:cs="仿宋_GB2312"/>
                <w:szCs w:val="32"/>
              </w:rPr>
            </w:pPr>
          </w:p>
        </w:tc>
        <w:tc>
          <w:tcPr>
            <w:tcW w:w="2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县医疗集团</w:t>
            </w:r>
          </w:p>
        </w:tc>
        <w:tc>
          <w:tcPr>
            <w:tcW w:w="10264" w:type="dxa"/>
            <w:tcBorders>
              <w:top w:val="single" w:color="auto" w:sz="4" w:space="0"/>
              <w:left w:val="single" w:color="auto" w:sz="4" w:space="0"/>
              <w:bottom w:val="single" w:color="auto" w:sz="4" w:space="0"/>
            </w:tcBorders>
            <w:noWrap/>
            <w:tcMar>
              <w:top w:w="15" w:type="dxa"/>
              <w:left w:w="15" w:type="dxa"/>
              <w:right w:w="15" w:type="dxa"/>
            </w:tcMar>
            <w:vAlign w:val="center"/>
          </w:tcPr>
          <w:p>
            <w:pPr>
              <w:widowControl/>
              <w:rPr>
                <w:rFonts w:ascii="宋体" w:hAnsi="宋体" w:eastAsia="宋体" w:cs="Arial"/>
                <w:kern w:val="0"/>
                <w:sz w:val="24"/>
              </w:rPr>
            </w:pPr>
            <w:r>
              <w:rPr>
                <w:rStyle w:val="22"/>
                <w:rFonts w:hint="default" w:cs="仿宋_GB2312" w:asciiTheme="minorEastAsia" w:hAnsiTheme="minorEastAsia"/>
                <w:color w:val="auto"/>
              </w:rPr>
              <w:t>负责</w:t>
            </w:r>
            <w:r>
              <w:rPr>
                <w:rStyle w:val="22"/>
                <w:rFonts w:hint="default" w:cs="仿宋_GB2312" w:asciiTheme="minorEastAsia" w:hAnsiTheme="minorEastAsia" w:eastAsiaTheme="minorEastAsia"/>
                <w:color w:val="auto"/>
              </w:rPr>
              <w:t>设置救护场所或临时医疗点，开展伤员现场急救、转运和救治；组织巡回医疗队，向灾区群众和救援人员提供医疗服务；</w:t>
            </w:r>
            <w:r>
              <w:rPr>
                <w:rFonts w:hint="eastAsia"/>
                <w:sz w:val="24"/>
              </w:rPr>
              <w:t>制定部门应急预案，组织本系统做好地震灾害应对工作。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68" w:hRule="atLeast"/>
          <w:jc w:val="center"/>
        </w:trPr>
        <w:tc>
          <w:tcPr>
            <w:tcW w:w="981" w:type="dxa"/>
            <w:vMerge w:val="continue"/>
            <w:tcBorders>
              <w:right w:val="single" w:color="auto" w:sz="4" w:space="0"/>
            </w:tcBorders>
            <w:noWrap/>
            <w:tcMar>
              <w:top w:w="15" w:type="dxa"/>
              <w:left w:w="15" w:type="dxa"/>
              <w:right w:w="15" w:type="dxa"/>
            </w:tcMar>
            <w:vAlign w:val="center"/>
          </w:tcPr>
          <w:p>
            <w:pPr>
              <w:spacing w:line="360" w:lineRule="auto"/>
              <w:jc w:val="center"/>
              <w:rPr>
                <w:rFonts w:ascii="仿宋_GB2312" w:hAnsi="仿宋_GB2312" w:cs="仿宋_GB2312"/>
                <w:szCs w:val="32"/>
              </w:rPr>
            </w:pPr>
          </w:p>
        </w:tc>
        <w:tc>
          <w:tcPr>
            <w:tcW w:w="2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县红十字会</w:t>
            </w:r>
          </w:p>
        </w:tc>
        <w:tc>
          <w:tcPr>
            <w:tcW w:w="10264" w:type="dxa"/>
            <w:tcBorders>
              <w:top w:val="single" w:color="auto" w:sz="4" w:space="0"/>
              <w:left w:val="single" w:color="auto" w:sz="4" w:space="0"/>
              <w:bottom w:val="single" w:color="auto" w:sz="4" w:space="0"/>
            </w:tcBorders>
            <w:noWrap/>
            <w:tcMar>
              <w:top w:w="15" w:type="dxa"/>
              <w:left w:w="15" w:type="dxa"/>
              <w:right w:w="15" w:type="dxa"/>
            </w:tcMar>
            <w:vAlign w:val="center"/>
          </w:tcPr>
          <w:p>
            <w:pPr>
              <w:pStyle w:val="10"/>
              <w:spacing w:before="0" w:beforeAutospacing="0" w:after="0" w:afterAutospacing="0" w:line="30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负责依法开展救灾募捐活动，负责接收其他组织和个人通过红十字会捐助的物资和资金；负责组织红十字会员和志愿者参加医疗防疫并做好相关动员、引导、管理工作；开展自然灾害预防、避险和自救、互救的知识宣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56" w:hRule="atLeast"/>
          <w:jc w:val="center"/>
        </w:trPr>
        <w:tc>
          <w:tcPr>
            <w:tcW w:w="981" w:type="dxa"/>
            <w:vMerge w:val="continue"/>
            <w:tcBorders>
              <w:right w:val="single" w:color="auto" w:sz="4" w:space="0"/>
            </w:tcBorders>
            <w:noWrap/>
            <w:tcMar>
              <w:top w:w="15" w:type="dxa"/>
              <w:left w:w="15" w:type="dxa"/>
              <w:right w:w="15" w:type="dxa"/>
            </w:tcMar>
            <w:vAlign w:val="center"/>
          </w:tcPr>
          <w:p>
            <w:pPr>
              <w:spacing w:line="360" w:lineRule="auto"/>
              <w:jc w:val="center"/>
              <w:rPr>
                <w:rFonts w:ascii="仿宋_GB2312" w:hAnsi="仿宋_GB2312" w:cs="仿宋_GB2312"/>
                <w:szCs w:val="32"/>
              </w:rPr>
            </w:pPr>
          </w:p>
        </w:tc>
        <w:tc>
          <w:tcPr>
            <w:tcW w:w="2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县气象局</w:t>
            </w:r>
          </w:p>
        </w:tc>
        <w:tc>
          <w:tcPr>
            <w:tcW w:w="10264" w:type="dxa"/>
            <w:tcBorders>
              <w:top w:val="single" w:color="auto" w:sz="4" w:space="0"/>
              <w:left w:val="single" w:color="auto" w:sz="4" w:space="0"/>
              <w:bottom w:val="single" w:color="auto" w:sz="4" w:space="0"/>
            </w:tcBorders>
            <w:noWrap/>
            <w:tcMar>
              <w:top w:w="15" w:type="dxa"/>
              <w:left w:w="15" w:type="dxa"/>
              <w:right w:w="15" w:type="dxa"/>
            </w:tcMar>
            <w:vAlign w:val="center"/>
          </w:tcPr>
          <w:p>
            <w:pPr>
              <w:pStyle w:val="10"/>
              <w:spacing w:before="0" w:beforeAutospacing="0" w:after="0" w:afterAutospacing="0" w:line="30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负责天气监测、预警、预报，提供气象保障信息。</w:t>
            </w:r>
            <w:r>
              <w:rPr>
                <w:rFonts w:hint="eastAsia"/>
              </w:rPr>
              <w:t>负责全县气象监测预报预警；为抗震抢险和应急救援提供气象服务保障。制定部门相关应急预案，组织本系统做好洪涝灾害应对工作。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6" w:hRule="atLeast"/>
          <w:jc w:val="center"/>
        </w:trPr>
        <w:tc>
          <w:tcPr>
            <w:tcW w:w="981" w:type="dxa"/>
            <w:vMerge w:val="continue"/>
            <w:tcBorders>
              <w:right w:val="single" w:color="auto" w:sz="4" w:space="0"/>
            </w:tcBorders>
            <w:noWrap/>
            <w:tcMar>
              <w:top w:w="15" w:type="dxa"/>
              <w:left w:w="15" w:type="dxa"/>
              <w:right w:w="15" w:type="dxa"/>
            </w:tcMar>
            <w:vAlign w:val="center"/>
          </w:tcPr>
          <w:p>
            <w:pPr>
              <w:spacing w:line="360" w:lineRule="auto"/>
              <w:jc w:val="center"/>
              <w:rPr>
                <w:rFonts w:ascii="仿宋_GB2312" w:hAnsi="仿宋_GB2312" w:cs="仿宋_GB2312"/>
                <w:szCs w:val="32"/>
              </w:rPr>
            </w:pPr>
          </w:p>
        </w:tc>
        <w:tc>
          <w:tcPr>
            <w:tcW w:w="2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武警沁源中队</w:t>
            </w:r>
          </w:p>
        </w:tc>
        <w:tc>
          <w:tcPr>
            <w:tcW w:w="10264" w:type="dxa"/>
            <w:tcBorders>
              <w:top w:val="single" w:color="auto" w:sz="4" w:space="0"/>
              <w:left w:val="single" w:color="auto" w:sz="4" w:space="0"/>
              <w:bottom w:val="single" w:color="auto" w:sz="4" w:space="0"/>
            </w:tcBorders>
            <w:noWrap/>
            <w:tcMar>
              <w:top w:w="15" w:type="dxa"/>
              <w:left w:w="15" w:type="dxa"/>
              <w:right w:w="15" w:type="dxa"/>
            </w:tcMar>
            <w:vAlign w:val="center"/>
          </w:tcPr>
          <w:p>
            <w:pPr>
              <w:spacing w:line="300" w:lineRule="exact"/>
              <w:ind w:firstLine="480" w:firstLineChars="200"/>
              <w:rPr>
                <w:rStyle w:val="22"/>
                <w:rFonts w:hint="default" w:cs="仿宋_GB2312" w:asciiTheme="minorEastAsia" w:hAnsiTheme="minorEastAsia" w:eastAsiaTheme="minorEastAsia"/>
                <w:color w:val="auto"/>
              </w:rPr>
            </w:pPr>
            <w:r>
              <w:rPr>
                <w:rFonts w:hint="eastAsia"/>
                <w:sz w:val="24"/>
              </w:rPr>
              <w:t>根据地震灾情需要，担负</w:t>
            </w:r>
            <w:r>
              <w:rPr>
                <w:rStyle w:val="22"/>
                <w:rFonts w:hint="default" w:cs="仿宋_GB2312" w:asciiTheme="minorEastAsia" w:hAnsiTheme="minorEastAsia" w:eastAsiaTheme="minorEastAsia"/>
                <w:color w:val="auto"/>
              </w:rPr>
              <w:t>重灾区或重要场所人员抢救或特种抢险的</w:t>
            </w:r>
            <w:r>
              <w:rPr>
                <w:rFonts w:hint="eastAsia"/>
                <w:sz w:val="24"/>
              </w:rPr>
              <w:t>抗震救灾任务。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36" w:hRule="atLeast"/>
          <w:jc w:val="center"/>
        </w:trPr>
        <w:tc>
          <w:tcPr>
            <w:tcW w:w="981" w:type="dxa"/>
            <w:vMerge w:val="continue"/>
            <w:tcBorders>
              <w:right w:val="single" w:color="auto" w:sz="4" w:space="0"/>
            </w:tcBorders>
            <w:noWrap/>
            <w:tcMar>
              <w:top w:w="15" w:type="dxa"/>
              <w:left w:w="15" w:type="dxa"/>
              <w:right w:w="15" w:type="dxa"/>
            </w:tcMar>
            <w:vAlign w:val="center"/>
          </w:tcPr>
          <w:p>
            <w:pPr>
              <w:spacing w:line="360" w:lineRule="auto"/>
              <w:jc w:val="center"/>
              <w:rPr>
                <w:rFonts w:ascii="仿宋_GB2312" w:hAnsi="仿宋_GB2312" w:cs="仿宋_GB2312"/>
                <w:b/>
                <w:bCs/>
                <w:kern w:val="0"/>
                <w:sz w:val="24"/>
              </w:rPr>
            </w:pPr>
          </w:p>
        </w:tc>
        <w:tc>
          <w:tcPr>
            <w:tcW w:w="2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县消防救援大队</w:t>
            </w:r>
          </w:p>
        </w:tc>
        <w:tc>
          <w:tcPr>
            <w:tcW w:w="10264" w:type="dxa"/>
            <w:tcBorders>
              <w:top w:val="single" w:color="auto" w:sz="4" w:space="0"/>
              <w:left w:val="single" w:color="auto" w:sz="4" w:space="0"/>
              <w:bottom w:val="single" w:color="auto" w:sz="4" w:space="0"/>
            </w:tcBorders>
            <w:noWrap/>
            <w:tcMar>
              <w:top w:w="15" w:type="dxa"/>
              <w:left w:w="15" w:type="dxa"/>
              <w:right w:w="15" w:type="dxa"/>
            </w:tcMar>
            <w:vAlign w:val="center"/>
          </w:tcPr>
          <w:p>
            <w:pPr>
              <w:pStyle w:val="10"/>
              <w:spacing w:before="0" w:beforeAutospacing="0" w:after="0" w:afterAutospacing="0" w:line="340" w:lineRule="exact"/>
              <w:ind w:firstLine="480" w:firstLineChars="200"/>
              <w:jc w:val="both"/>
              <w:rPr>
                <w:rFonts w:cs="仿宋" w:asciiTheme="minorEastAsia" w:hAnsiTheme="minorEastAsia" w:eastAsiaTheme="minorEastAsia"/>
                <w:bCs/>
                <w:kern w:val="2"/>
              </w:rPr>
            </w:pPr>
            <w:r>
              <w:rPr>
                <w:rFonts w:hint="eastAsia"/>
              </w:rPr>
              <w:t>作为县抗震救灾的骨干力量全力参与地震灾害应急救援工作，做好本部门地震灾害应对工作。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8" w:hRule="atLeast"/>
          <w:jc w:val="center"/>
        </w:trPr>
        <w:tc>
          <w:tcPr>
            <w:tcW w:w="981" w:type="dxa"/>
            <w:vMerge w:val="continue"/>
            <w:tcBorders>
              <w:right w:val="single" w:color="auto" w:sz="4" w:space="0"/>
            </w:tcBorders>
            <w:noWrap/>
            <w:tcMar>
              <w:top w:w="15" w:type="dxa"/>
              <w:left w:w="15" w:type="dxa"/>
              <w:right w:w="15" w:type="dxa"/>
            </w:tcMar>
            <w:vAlign w:val="center"/>
          </w:tcPr>
          <w:p>
            <w:pPr>
              <w:widowControl/>
              <w:jc w:val="center"/>
              <w:textAlignment w:val="center"/>
              <w:rPr>
                <w:rFonts w:ascii="仿宋_GB2312" w:hAnsi="仿宋_GB2312" w:cs="仿宋_GB2312"/>
                <w:b/>
                <w:bCs/>
                <w:kern w:val="0"/>
                <w:sz w:val="24"/>
              </w:rPr>
            </w:pPr>
          </w:p>
        </w:tc>
        <w:tc>
          <w:tcPr>
            <w:tcW w:w="269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县供电分公司</w:t>
            </w:r>
          </w:p>
        </w:tc>
        <w:tc>
          <w:tcPr>
            <w:tcW w:w="10264" w:type="dxa"/>
            <w:tcBorders>
              <w:top w:val="single" w:color="auto" w:sz="4" w:space="0"/>
              <w:left w:val="single" w:color="auto" w:sz="4" w:space="0"/>
              <w:bottom w:val="single" w:color="auto" w:sz="4" w:space="0"/>
            </w:tcBorders>
            <w:noWrap/>
            <w:tcMar>
              <w:top w:w="15" w:type="dxa"/>
              <w:left w:w="15" w:type="dxa"/>
              <w:right w:w="15" w:type="dxa"/>
            </w:tcMar>
            <w:vAlign w:val="center"/>
          </w:tcPr>
          <w:p>
            <w:pPr>
              <w:pStyle w:val="10"/>
              <w:spacing w:before="0" w:beforeAutospacing="0" w:after="0" w:afterAutospacing="0" w:line="360" w:lineRule="exact"/>
              <w:ind w:firstLine="480" w:firstLineChars="200"/>
              <w:jc w:val="both"/>
              <w:rPr>
                <w:rStyle w:val="22"/>
                <w:rFonts w:hint="default" w:cs="仿宋_GB2312" w:asciiTheme="minorEastAsia" w:hAnsiTheme="minorEastAsia" w:eastAsiaTheme="minorEastAsia"/>
                <w:color w:val="auto"/>
                <w:kern w:val="2"/>
              </w:rPr>
            </w:pPr>
            <w:r>
              <w:rPr>
                <w:rStyle w:val="22"/>
                <w:rFonts w:hint="default" w:cs="仿宋_GB2312" w:asciiTheme="minorEastAsia" w:hAnsiTheme="minorEastAsia" w:eastAsiaTheme="minorEastAsia"/>
                <w:color w:val="auto"/>
                <w:kern w:val="2"/>
              </w:rPr>
              <w:t>负责辖区内受灾地区损毁供电设备和设施的修复工作，保障</w:t>
            </w:r>
            <w:r>
              <w:rPr>
                <w:rFonts w:hint="eastAsia"/>
              </w:rPr>
              <w:t>所辖电力设备设施安全运行，做好灾后重建的应急电力保障。制定部门相关应急预案，组织所属单位做好地震灾害应对工作。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30" w:hRule="atLeast"/>
          <w:jc w:val="center"/>
        </w:trPr>
        <w:tc>
          <w:tcPr>
            <w:tcW w:w="981" w:type="dxa"/>
            <w:vMerge w:val="continue"/>
            <w:tcBorders>
              <w:right w:val="single" w:color="auto" w:sz="4" w:space="0"/>
            </w:tcBorders>
            <w:noWrap/>
            <w:tcMar>
              <w:top w:w="15" w:type="dxa"/>
              <w:left w:w="15" w:type="dxa"/>
              <w:right w:w="15" w:type="dxa"/>
            </w:tcMar>
            <w:vAlign w:val="center"/>
          </w:tcPr>
          <w:p>
            <w:pPr>
              <w:widowControl/>
              <w:jc w:val="center"/>
              <w:textAlignment w:val="center"/>
              <w:rPr>
                <w:rFonts w:ascii="仿宋_GB2312" w:hAnsi="仿宋_GB2312" w:cs="仿宋_GB2312"/>
                <w:b/>
                <w:bCs/>
                <w:kern w:val="0"/>
                <w:sz w:val="24"/>
              </w:rPr>
            </w:pPr>
          </w:p>
        </w:tc>
        <w:tc>
          <w:tcPr>
            <w:tcW w:w="2696" w:type="dxa"/>
            <w:tcBorders>
              <w:top w:val="single" w:color="auto" w:sz="4" w:space="0"/>
              <w:left w:val="single" w:color="auto" w:sz="4" w:space="0"/>
              <w:right w:val="single" w:color="auto" w:sz="4" w:space="0"/>
            </w:tcBorders>
            <w:noWrap/>
            <w:tcMar>
              <w:top w:w="15" w:type="dxa"/>
              <w:left w:w="15" w:type="dxa"/>
              <w:right w:w="15" w:type="dxa"/>
            </w:tcMar>
            <w:vAlign w:val="center"/>
          </w:tcPr>
          <w:p>
            <w:pPr>
              <w:widowControl/>
              <w:jc w:val="center"/>
              <w:textAlignment w:val="center"/>
              <w:rPr>
                <w:rStyle w:val="22"/>
                <w:rFonts w:hint="eastAsia" w:asciiTheme="minorEastAsia" w:hAnsiTheme="minorEastAsia" w:eastAsiaTheme="minorEastAsia" w:cstheme="minorEastAsia"/>
                <w:color w:val="auto"/>
              </w:rPr>
            </w:pPr>
            <w:r>
              <w:rPr>
                <w:rStyle w:val="22"/>
                <w:rFonts w:hint="eastAsia" w:asciiTheme="minorEastAsia" w:hAnsiTheme="minorEastAsia" w:eastAsiaTheme="minorEastAsia" w:cstheme="minorEastAsia"/>
                <w:color w:val="auto"/>
              </w:rPr>
              <w:t>移动、联通、电信沁源分公司</w:t>
            </w:r>
          </w:p>
        </w:tc>
        <w:tc>
          <w:tcPr>
            <w:tcW w:w="10264" w:type="dxa"/>
            <w:tcBorders>
              <w:top w:val="single" w:color="auto" w:sz="4" w:space="0"/>
              <w:left w:val="single" w:color="auto" w:sz="4" w:space="0"/>
            </w:tcBorders>
            <w:noWrap/>
            <w:tcMar>
              <w:top w:w="15" w:type="dxa"/>
              <w:left w:w="15" w:type="dxa"/>
              <w:right w:w="15" w:type="dxa"/>
            </w:tcMar>
            <w:vAlign w:val="center"/>
          </w:tcPr>
          <w:p>
            <w:pPr>
              <w:pStyle w:val="10"/>
              <w:spacing w:before="0" w:beforeAutospacing="0" w:after="0" w:afterAutospacing="0" w:line="300" w:lineRule="exact"/>
              <w:ind w:firstLine="480" w:firstLineChars="200"/>
              <w:jc w:val="both"/>
              <w:rPr>
                <w:rStyle w:val="22"/>
                <w:rFonts w:hint="default" w:cs="仿宋_GB2312" w:asciiTheme="minorEastAsia" w:hAnsiTheme="minorEastAsia" w:eastAsiaTheme="minorEastAsia"/>
                <w:color w:val="auto"/>
                <w:kern w:val="2"/>
              </w:rPr>
            </w:pPr>
            <w:r>
              <w:rPr>
                <w:rFonts w:hint="eastAsia"/>
              </w:rPr>
              <w:t>负责保障本部门通信设施防洪安全，做好通信设施维护、抢修；负责制定本部门通信保障预案，保障应急通信；制定部门相关应急预案，组织所属单位做好地震灾害应对工作。</w:t>
            </w:r>
          </w:p>
        </w:tc>
      </w:tr>
    </w:tbl>
    <w:p>
      <w:pPr>
        <w:pStyle w:val="4"/>
        <w:spacing w:line="560" w:lineRule="exact"/>
        <w:jc w:val="center"/>
        <w:rPr>
          <w:rFonts w:ascii="宋体" w:hAnsi="宋体" w:eastAsia="宋体" w:cs="宋体"/>
        </w:rPr>
      </w:pPr>
      <w:bookmarkStart w:id="81" w:name="_Toc677"/>
      <w:bookmarkStart w:id="82" w:name="_Hlk42383736"/>
      <w:r>
        <w:rPr>
          <w:rFonts w:hint="eastAsia" w:ascii="宋体" w:hAnsi="宋体" w:eastAsia="宋体" w:cs="宋体"/>
        </w:rPr>
        <w:t>11.4地震灾害分级表</w:t>
      </w:r>
      <w:bookmarkEnd w:id="81"/>
    </w:p>
    <w:bookmarkEnd w:id="82"/>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302"/>
        <w:gridCol w:w="3518"/>
        <w:gridCol w:w="3603"/>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37" w:type="pct"/>
            <w:noWrap/>
            <w:vAlign w:val="center"/>
          </w:tcPr>
          <w:p>
            <w:pPr>
              <w:widowControl/>
              <w:jc w:val="center"/>
              <w:textAlignment w:val="center"/>
              <w:rPr>
                <w:rFonts w:ascii="黑体" w:hAnsi="黑体" w:eastAsia="黑体" w:cs="黑体"/>
                <w:kern w:val="0"/>
                <w:sz w:val="32"/>
                <w:szCs w:val="32"/>
              </w:rPr>
            </w:pPr>
            <w:r>
              <w:rPr>
                <w:rFonts w:hint="eastAsia" w:ascii="黑体" w:hAnsi="黑体" w:eastAsia="黑体" w:cs="黑体"/>
                <w:kern w:val="0"/>
                <w:sz w:val="32"/>
                <w:szCs w:val="32"/>
              </w:rPr>
              <w:t>灾害分级</w:t>
            </w:r>
          </w:p>
        </w:tc>
        <w:tc>
          <w:tcPr>
            <w:tcW w:w="1161" w:type="pct"/>
            <w:noWrap/>
            <w:vAlign w:val="center"/>
          </w:tcPr>
          <w:p>
            <w:pPr>
              <w:widowControl/>
              <w:jc w:val="center"/>
              <w:rPr>
                <w:rFonts w:ascii="黑体" w:hAnsi="黑体" w:eastAsia="黑体" w:cs="黑体"/>
                <w:kern w:val="0"/>
                <w:sz w:val="32"/>
                <w:szCs w:val="32"/>
              </w:rPr>
            </w:pPr>
            <w:r>
              <w:rPr>
                <w:rFonts w:hint="eastAsia" w:ascii="黑体" w:hAnsi="黑体" w:eastAsia="黑体" w:cs="黑体"/>
                <w:kern w:val="0"/>
                <w:sz w:val="32"/>
                <w:szCs w:val="32"/>
              </w:rPr>
              <w:t>特别重大地震灾害</w:t>
            </w:r>
          </w:p>
        </w:tc>
        <w:tc>
          <w:tcPr>
            <w:tcW w:w="1237" w:type="pct"/>
            <w:noWrap/>
            <w:vAlign w:val="center"/>
          </w:tcPr>
          <w:p>
            <w:pPr>
              <w:widowControl/>
              <w:jc w:val="center"/>
              <w:rPr>
                <w:rFonts w:ascii="黑体" w:hAnsi="黑体" w:eastAsia="黑体" w:cs="黑体"/>
                <w:kern w:val="0"/>
                <w:sz w:val="32"/>
                <w:szCs w:val="32"/>
              </w:rPr>
            </w:pPr>
            <w:r>
              <w:rPr>
                <w:rFonts w:hint="eastAsia" w:ascii="黑体" w:hAnsi="黑体" w:eastAsia="黑体" w:cs="黑体"/>
                <w:kern w:val="0"/>
                <w:sz w:val="32"/>
                <w:szCs w:val="32"/>
              </w:rPr>
              <w:t>重大地震灾害</w:t>
            </w:r>
          </w:p>
        </w:tc>
        <w:tc>
          <w:tcPr>
            <w:tcW w:w="1267" w:type="pct"/>
            <w:noWrap/>
            <w:vAlign w:val="center"/>
          </w:tcPr>
          <w:p>
            <w:pPr>
              <w:widowControl/>
              <w:jc w:val="center"/>
              <w:rPr>
                <w:rFonts w:ascii="黑体" w:hAnsi="黑体" w:eastAsia="黑体" w:cs="黑体"/>
                <w:kern w:val="0"/>
                <w:sz w:val="32"/>
                <w:szCs w:val="32"/>
              </w:rPr>
            </w:pPr>
            <w:r>
              <w:rPr>
                <w:rFonts w:hint="eastAsia" w:ascii="黑体" w:hAnsi="黑体" w:eastAsia="黑体" w:cs="黑体"/>
                <w:kern w:val="0"/>
                <w:sz w:val="32"/>
                <w:szCs w:val="32"/>
              </w:rPr>
              <w:t>较大地震灾害</w:t>
            </w:r>
          </w:p>
        </w:tc>
        <w:tc>
          <w:tcPr>
            <w:tcW w:w="998" w:type="pct"/>
            <w:noWrap/>
            <w:vAlign w:val="center"/>
          </w:tcPr>
          <w:p>
            <w:pPr>
              <w:widowControl/>
              <w:jc w:val="center"/>
              <w:rPr>
                <w:rFonts w:ascii="黑体" w:hAnsi="黑体" w:eastAsia="黑体" w:cs="黑体"/>
                <w:kern w:val="0"/>
                <w:sz w:val="32"/>
                <w:szCs w:val="32"/>
              </w:rPr>
            </w:pPr>
            <w:r>
              <w:rPr>
                <w:rFonts w:hint="eastAsia" w:ascii="黑体" w:hAnsi="黑体" w:eastAsia="黑体" w:cs="黑体"/>
                <w:kern w:val="0"/>
                <w:sz w:val="32"/>
                <w:szCs w:val="32"/>
              </w:rPr>
              <w:t>一般地震灾害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4" w:hRule="atLeast"/>
          <w:jc w:val="center"/>
        </w:trPr>
        <w:tc>
          <w:tcPr>
            <w:tcW w:w="337" w:type="pct"/>
            <w:noWrap/>
            <w:vAlign w:val="center"/>
          </w:tcPr>
          <w:p>
            <w:pPr>
              <w:widowControl/>
              <w:jc w:val="center"/>
              <w:textAlignment w:val="center"/>
              <w:rPr>
                <w:rFonts w:ascii="仿宋_GB2312" w:hAnsi="黑体" w:cs="黑体"/>
                <w:kern w:val="0"/>
                <w:sz w:val="28"/>
                <w:szCs w:val="28"/>
              </w:rPr>
            </w:pPr>
            <w:r>
              <w:rPr>
                <w:rFonts w:hint="eastAsia" w:ascii="仿宋_GB2312" w:hAnsi="黑体" w:cs="黑体"/>
                <w:kern w:val="0"/>
                <w:sz w:val="28"/>
                <w:szCs w:val="28"/>
              </w:rPr>
              <w:t>分级标准</w:t>
            </w:r>
          </w:p>
        </w:tc>
        <w:tc>
          <w:tcPr>
            <w:tcW w:w="1161" w:type="pct"/>
            <w:noWrap/>
          </w:tcPr>
          <w:p>
            <w:pPr>
              <w:widowControl/>
              <w:spacing w:line="380" w:lineRule="exact"/>
              <w:ind w:firstLine="560" w:firstLineChars="200"/>
              <w:textAlignment w:val="center"/>
              <w:rPr>
                <w:rFonts w:ascii="仿宋_GB2312" w:hAnsi="仿宋_GB2312" w:cs="仿宋_GB2312"/>
                <w:sz w:val="28"/>
                <w:szCs w:val="28"/>
              </w:rPr>
            </w:pPr>
          </w:p>
          <w:p>
            <w:pPr>
              <w:widowControl/>
              <w:spacing w:line="380" w:lineRule="exact"/>
              <w:ind w:firstLine="560" w:firstLineChars="200"/>
              <w:textAlignment w:val="center"/>
              <w:rPr>
                <w:rFonts w:ascii="仿宋_GB2312" w:hAnsi="仿宋_GB2312" w:cs="仿宋_GB2312"/>
                <w:sz w:val="28"/>
                <w:szCs w:val="28"/>
              </w:rPr>
            </w:pPr>
            <w:r>
              <w:rPr>
                <w:rFonts w:hint="eastAsia" w:ascii="仿宋_GB2312" w:hAnsi="仿宋_GB2312" w:cs="仿宋_GB2312"/>
                <w:sz w:val="28"/>
                <w:szCs w:val="28"/>
              </w:rPr>
              <w:t>1、特别重大地震灾害是指造成300人以上死亡（含失踪），或者直接经济损失占地震发生地省（区、市）上年国内生产总值1%以上的地震灾害。</w:t>
            </w:r>
          </w:p>
          <w:p>
            <w:pPr>
              <w:widowControl/>
              <w:spacing w:line="380" w:lineRule="exact"/>
              <w:ind w:firstLine="560" w:firstLineChars="200"/>
              <w:textAlignment w:val="center"/>
              <w:rPr>
                <w:rFonts w:ascii="仿宋_GB2312" w:hAnsi="仿宋_GB2312" w:cs="仿宋_GB2312"/>
                <w:bCs/>
                <w:kern w:val="0"/>
                <w:sz w:val="28"/>
                <w:szCs w:val="28"/>
              </w:rPr>
            </w:pPr>
            <w:r>
              <w:rPr>
                <w:rFonts w:hint="eastAsia" w:ascii="仿宋_GB2312" w:hAnsi="仿宋_GB2312" w:cs="仿宋_GB2312"/>
                <w:sz w:val="28"/>
                <w:szCs w:val="28"/>
              </w:rPr>
              <w:t>2、当</w:t>
            </w:r>
            <w:r>
              <w:rPr>
                <w:rFonts w:hint="eastAsia" w:ascii="仿宋_GB2312" w:hAnsi="仿宋_GB2312" w:cs="仿宋_GB2312"/>
                <w:sz w:val="28"/>
                <w:szCs w:val="28"/>
                <w:lang w:val="zh-CN"/>
              </w:rPr>
              <w:t>人口较密集地区发生</w:t>
            </w:r>
            <w:r>
              <w:rPr>
                <w:rFonts w:hint="eastAsia" w:ascii="仿宋_GB2312" w:hAnsi="仿宋_GB2312" w:cs="仿宋_GB2312"/>
                <w:sz w:val="28"/>
                <w:szCs w:val="28"/>
              </w:rPr>
              <w:t>7</w:t>
            </w:r>
            <w:r>
              <w:rPr>
                <w:rFonts w:hint="eastAsia" w:ascii="仿宋_GB2312" w:hAnsi="仿宋_GB2312" w:cs="仿宋_GB2312"/>
                <w:sz w:val="28"/>
                <w:szCs w:val="28"/>
                <w:lang w:val="zh-CN"/>
              </w:rPr>
              <w:t>.0级以上，人口密集地区发生</w:t>
            </w:r>
            <w:r>
              <w:rPr>
                <w:rFonts w:hint="eastAsia" w:ascii="仿宋_GB2312" w:hAnsi="仿宋_GB2312" w:cs="仿宋_GB2312"/>
                <w:sz w:val="28"/>
                <w:szCs w:val="28"/>
              </w:rPr>
              <w:t>6</w:t>
            </w:r>
            <w:r>
              <w:rPr>
                <w:rFonts w:hint="eastAsia" w:ascii="仿宋_GB2312" w:hAnsi="仿宋_GB2312" w:cs="仿宋_GB2312"/>
                <w:sz w:val="28"/>
                <w:szCs w:val="28"/>
                <w:lang w:val="zh-CN"/>
              </w:rPr>
              <w:t>.0级以上地震</w:t>
            </w:r>
            <w:r>
              <w:rPr>
                <w:rFonts w:hint="eastAsia" w:ascii="仿宋_GB2312" w:hAnsi="仿宋_GB2312" w:cs="仿宋_GB2312"/>
                <w:sz w:val="28"/>
                <w:szCs w:val="28"/>
              </w:rPr>
              <w:t>或地震造成300以上人死亡（含失踪），初判为特别重大地震灾害。</w:t>
            </w:r>
          </w:p>
        </w:tc>
        <w:tc>
          <w:tcPr>
            <w:tcW w:w="1237" w:type="pct"/>
            <w:noWrap/>
          </w:tcPr>
          <w:p>
            <w:pPr>
              <w:widowControl/>
              <w:spacing w:line="400" w:lineRule="exact"/>
              <w:ind w:firstLine="560" w:firstLineChars="200"/>
              <w:textAlignment w:val="center"/>
              <w:rPr>
                <w:rFonts w:ascii="仿宋_GB2312" w:hAnsi="仿宋_GB2312" w:cs="仿宋_GB2312"/>
                <w:sz w:val="28"/>
                <w:szCs w:val="28"/>
              </w:rPr>
            </w:pPr>
          </w:p>
          <w:p>
            <w:pPr>
              <w:widowControl/>
              <w:spacing w:line="400" w:lineRule="exact"/>
              <w:ind w:firstLine="560" w:firstLineChars="200"/>
              <w:textAlignment w:val="center"/>
              <w:rPr>
                <w:rFonts w:ascii="仿宋_GB2312" w:hAnsi="仿宋_GB2312" w:cs="仿宋_GB2312"/>
                <w:sz w:val="28"/>
                <w:szCs w:val="28"/>
              </w:rPr>
            </w:pPr>
            <w:r>
              <w:rPr>
                <w:rFonts w:hint="eastAsia" w:ascii="仿宋_GB2312" w:hAnsi="仿宋_GB2312" w:cs="仿宋_GB2312"/>
                <w:sz w:val="28"/>
                <w:szCs w:val="28"/>
              </w:rPr>
              <w:t>1、重大地震灾害是指造成50人以上、300人以下死亡（含失踪）或者造成严重经济损失的地震灾害。</w:t>
            </w:r>
          </w:p>
          <w:p>
            <w:pPr>
              <w:widowControl/>
              <w:spacing w:line="400" w:lineRule="exact"/>
              <w:ind w:firstLine="560" w:firstLineChars="200"/>
              <w:textAlignment w:val="center"/>
              <w:rPr>
                <w:rFonts w:ascii="仿宋_GB2312" w:hAnsi="仿宋_GB2312" w:cs="仿宋_GB2312"/>
                <w:bCs/>
                <w:kern w:val="0"/>
                <w:sz w:val="28"/>
                <w:szCs w:val="28"/>
              </w:rPr>
            </w:pPr>
            <w:r>
              <w:rPr>
                <w:rFonts w:hint="eastAsia" w:ascii="仿宋_GB2312" w:hAnsi="仿宋_GB2312" w:cs="仿宋_GB2312"/>
                <w:sz w:val="28"/>
                <w:szCs w:val="28"/>
              </w:rPr>
              <w:t>2、</w:t>
            </w:r>
            <w:r>
              <w:rPr>
                <w:rFonts w:hint="eastAsia" w:ascii="仿宋_GB2312" w:hAnsi="仿宋_GB2312" w:cs="仿宋_GB2312"/>
                <w:sz w:val="28"/>
                <w:szCs w:val="28"/>
                <w:lang w:val="zh-CN"/>
              </w:rPr>
              <w:t>人口较密集地区发生6.0</w:t>
            </w:r>
            <w:r>
              <w:rPr>
                <w:rFonts w:hint="eastAsia" w:ascii="仿宋_GB2312" w:hAnsi="仿宋_GB2312" w:cs="仿宋_GB2312"/>
                <w:sz w:val="28"/>
                <w:szCs w:val="28"/>
              </w:rPr>
              <w:t>-7.0</w:t>
            </w:r>
            <w:r>
              <w:rPr>
                <w:rFonts w:hint="eastAsia" w:ascii="仿宋_GB2312" w:hAnsi="仿宋_GB2312" w:cs="仿宋_GB2312"/>
                <w:sz w:val="28"/>
                <w:szCs w:val="28"/>
                <w:lang w:val="zh-CN"/>
              </w:rPr>
              <w:t>级</w:t>
            </w:r>
            <w:r>
              <w:rPr>
                <w:rFonts w:hint="eastAsia" w:ascii="仿宋_GB2312" w:hAnsi="仿宋_GB2312" w:cs="仿宋_GB2312"/>
                <w:sz w:val="28"/>
                <w:szCs w:val="28"/>
              </w:rPr>
              <w:t>地震</w:t>
            </w:r>
            <w:r>
              <w:rPr>
                <w:rFonts w:hint="eastAsia" w:ascii="仿宋_GB2312" w:hAnsi="仿宋_GB2312" w:cs="仿宋_GB2312"/>
                <w:sz w:val="28"/>
                <w:szCs w:val="28"/>
                <w:lang w:val="zh-CN"/>
              </w:rPr>
              <w:t>，人口密集地区发生5.0</w:t>
            </w:r>
            <w:r>
              <w:rPr>
                <w:rFonts w:hint="eastAsia" w:ascii="仿宋_GB2312" w:hAnsi="仿宋_GB2312" w:cs="仿宋_GB2312"/>
                <w:sz w:val="28"/>
                <w:szCs w:val="28"/>
              </w:rPr>
              <w:t>-6.0级</w:t>
            </w:r>
            <w:r>
              <w:rPr>
                <w:rFonts w:hint="eastAsia" w:ascii="仿宋_GB2312" w:hAnsi="仿宋_GB2312" w:cs="仿宋_GB2312"/>
                <w:sz w:val="28"/>
                <w:szCs w:val="28"/>
                <w:lang w:val="zh-CN"/>
              </w:rPr>
              <w:t>地震</w:t>
            </w:r>
            <w:r>
              <w:rPr>
                <w:rFonts w:hint="eastAsia" w:ascii="仿宋_GB2312" w:hAnsi="仿宋_GB2312" w:cs="仿宋_GB2312"/>
                <w:sz w:val="28"/>
                <w:szCs w:val="28"/>
              </w:rPr>
              <w:t>或地震造成50-300人（含失踪</w:t>
            </w:r>
            <w:r>
              <w:rPr>
                <w:rFonts w:hint="eastAsia" w:ascii="仿宋_GB2312" w:hAnsi="仿宋_GB2312" w:cs="仿宋_GB2312"/>
                <w:sz w:val="28"/>
                <w:szCs w:val="28"/>
                <w:lang w:val="zh-CN"/>
              </w:rPr>
              <w:t>），初判为重大地震灾害。</w:t>
            </w:r>
          </w:p>
        </w:tc>
        <w:tc>
          <w:tcPr>
            <w:tcW w:w="1267" w:type="pct"/>
            <w:noWrap/>
          </w:tcPr>
          <w:p>
            <w:pPr>
              <w:widowControl/>
              <w:spacing w:line="400" w:lineRule="exact"/>
              <w:ind w:firstLine="560" w:firstLineChars="200"/>
              <w:rPr>
                <w:rFonts w:ascii="仿宋_GB2312" w:hAnsi="仿宋_GB2312" w:cs="仿宋_GB2312"/>
                <w:sz w:val="28"/>
                <w:szCs w:val="28"/>
              </w:rPr>
            </w:pPr>
          </w:p>
          <w:p>
            <w:pPr>
              <w:widowControl/>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1、较大地震灾害是指造成10人以上、50人以下死亡（含失踪）或者造成较重经济损失的地震灾害。</w:t>
            </w:r>
          </w:p>
          <w:p>
            <w:pPr>
              <w:widowControl/>
              <w:spacing w:line="400" w:lineRule="exact"/>
              <w:ind w:firstLine="560" w:firstLineChars="200"/>
              <w:rPr>
                <w:rFonts w:ascii="仿宋_GB2312" w:hAnsi="仿宋_GB2312" w:cs="仿宋_GB2312"/>
                <w:bCs/>
                <w:kern w:val="0"/>
                <w:sz w:val="28"/>
                <w:szCs w:val="28"/>
              </w:rPr>
            </w:pPr>
            <w:r>
              <w:rPr>
                <w:rFonts w:hint="eastAsia" w:ascii="仿宋_GB2312" w:hAnsi="仿宋_GB2312" w:cs="仿宋_GB2312"/>
                <w:sz w:val="28"/>
                <w:szCs w:val="28"/>
              </w:rPr>
              <w:t>2、</w:t>
            </w:r>
            <w:r>
              <w:rPr>
                <w:rFonts w:hint="eastAsia" w:ascii="仿宋_GB2312" w:hAnsi="仿宋_GB2312" w:cs="仿宋_GB2312"/>
                <w:sz w:val="28"/>
                <w:szCs w:val="28"/>
                <w:lang w:val="zh-CN"/>
              </w:rPr>
              <w:t>人口较密集地区发生5.0-6.0级地震，人口密集地区发生4.0-5.0级地震</w:t>
            </w:r>
            <w:r>
              <w:rPr>
                <w:rFonts w:hint="eastAsia" w:ascii="仿宋_GB2312" w:hAnsi="仿宋_GB2312" w:cs="仿宋_GB2312"/>
                <w:sz w:val="28"/>
                <w:szCs w:val="28"/>
              </w:rPr>
              <w:t>或地震造成10-50人死亡（含失踪</w:t>
            </w:r>
            <w:r>
              <w:rPr>
                <w:rFonts w:hint="eastAsia" w:ascii="仿宋_GB2312" w:hAnsi="仿宋_GB2312" w:cs="仿宋_GB2312"/>
                <w:sz w:val="28"/>
                <w:szCs w:val="28"/>
                <w:lang w:val="zh-CN"/>
              </w:rPr>
              <w:t>），初判为较大地震灾害。</w:t>
            </w:r>
          </w:p>
        </w:tc>
        <w:tc>
          <w:tcPr>
            <w:tcW w:w="998" w:type="pct"/>
            <w:noWrap/>
          </w:tcPr>
          <w:p>
            <w:pPr>
              <w:widowControl/>
              <w:spacing w:line="400" w:lineRule="exact"/>
              <w:ind w:firstLine="560" w:firstLineChars="200"/>
              <w:rPr>
                <w:rFonts w:ascii="仿宋_GB2312" w:hAnsi="仿宋_GB2312" w:cs="仿宋_GB2312"/>
                <w:sz w:val="28"/>
                <w:szCs w:val="28"/>
              </w:rPr>
            </w:pPr>
          </w:p>
          <w:p>
            <w:pPr>
              <w:widowControl/>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1、一般地震灾害是指造成10人以下死亡（含失踪）或者造成一定经济损失的地震灾害。</w:t>
            </w:r>
          </w:p>
          <w:p>
            <w:pPr>
              <w:widowControl/>
              <w:spacing w:line="400" w:lineRule="exact"/>
              <w:ind w:firstLine="560" w:firstLineChars="200"/>
              <w:rPr>
                <w:rFonts w:ascii="仿宋_GB2312" w:hAnsi="仿宋_GB2312" w:cs="仿宋_GB2312"/>
                <w:bCs/>
                <w:kern w:val="0"/>
                <w:sz w:val="28"/>
                <w:szCs w:val="28"/>
              </w:rPr>
            </w:pPr>
            <w:r>
              <w:rPr>
                <w:rFonts w:hint="eastAsia" w:ascii="仿宋_GB2312" w:hAnsi="仿宋_GB2312" w:cs="仿宋_GB2312"/>
                <w:sz w:val="28"/>
                <w:szCs w:val="28"/>
              </w:rPr>
              <w:t>2、</w:t>
            </w:r>
            <w:r>
              <w:rPr>
                <w:rFonts w:hint="eastAsia" w:ascii="仿宋_GB2312" w:hAnsi="仿宋_GB2312" w:cs="仿宋_GB2312"/>
                <w:sz w:val="28"/>
                <w:szCs w:val="28"/>
                <w:lang w:val="zh-CN"/>
              </w:rPr>
              <w:t>人口较密集地区发生4.0-5.0级地震</w:t>
            </w:r>
            <w:r>
              <w:rPr>
                <w:rFonts w:hint="eastAsia" w:ascii="仿宋_GB2312" w:hAnsi="仿宋_GB2312" w:cs="仿宋_GB2312"/>
                <w:sz w:val="28"/>
                <w:szCs w:val="28"/>
              </w:rPr>
              <w:t>或地震灾害造成10人以下死亡（含失踪），初判为一般地震灾害。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000" w:type="pct"/>
            <w:gridSpan w:val="5"/>
            <w:noWrap/>
            <w:vAlign w:val="center"/>
          </w:tcPr>
          <w:p>
            <w:pPr>
              <w:widowControl/>
              <w:spacing w:line="400" w:lineRule="exact"/>
              <w:textAlignment w:val="center"/>
              <w:rPr>
                <w:rFonts w:ascii="仿宋_GB2312" w:cs="宋体"/>
                <w:sz w:val="28"/>
                <w:szCs w:val="28"/>
                <w:lang w:val="zh-CN"/>
              </w:rPr>
            </w:pPr>
            <w:r>
              <w:rPr>
                <w:rFonts w:hint="eastAsia" w:ascii="仿宋_GB2312" w:cs="宋体"/>
                <w:sz w:val="28"/>
                <w:szCs w:val="28"/>
                <w:lang w:val="zh-CN"/>
              </w:rPr>
              <w:t>说明：</w:t>
            </w:r>
            <w:r>
              <w:rPr>
                <w:rFonts w:hint="eastAsia" w:ascii="仿宋_GB2312" w:cs="宋体"/>
                <w:sz w:val="28"/>
                <w:szCs w:val="28"/>
              </w:rPr>
              <w:t>1.</w:t>
            </w:r>
            <w:r>
              <w:rPr>
                <w:rFonts w:hint="eastAsia" w:ascii="仿宋_GB2312" w:cs="宋体"/>
                <w:sz w:val="28"/>
                <w:szCs w:val="28"/>
                <w:lang w:val="zh-CN"/>
              </w:rPr>
              <w:t>人口密集地区</w:t>
            </w:r>
            <w:r>
              <w:rPr>
                <w:rFonts w:hint="eastAsia" w:ascii="仿宋_GB2312" w:cs="宋体"/>
                <w:sz w:val="28"/>
                <w:szCs w:val="28"/>
              </w:rPr>
              <w:t>专</w:t>
            </w:r>
            <w:r>
              <w:rPr>
                <w:rFonts w:hint="eastAsia" w:ascii="仿宋_GB2312" w:cs="宋体"/>
                <w:sz w:val="28"/>
                <w:szCs w:val="28"/>
                <w:lang w:val="zh-CN"/>
              </w:rPr>
              <w:t>指设区市的城区，其余地区为人口较密集区。</w:t>
            </w:r>
          </w:p>
          <w:p>
            <w:pPr>
              <w:widowControl/>
              <w:spacing w:line="400" w:lineRule="exact"/>
              <w:ind w:firstLine="840" w:firstLineChars="300"/>
              <w:textAlignment w:val="center"/>
              <w:rPr>
                <w:rFonts w:ascii="仿宋_GB2312" w:cs="宋体"/>
                <w:sz w:val="28"/>
                <w:szCs w:val="28"/>
              </w:rPr>
            </w:pPr>
            <w:r>
              <w:rPr>
                <w:rFonts w:hint="eastAsia" w:ascii="仿宋_GB2312" w:cs="宋体"/>
                <w:sz w:val="28"/>
                <w:szCs w:val="28"/>
              </w:rPr>
              <w:t>2.“以上”包括本数，“以下”不包括本数。</w:t>
            </w:r>
          </w:p>
        </w:tc>
      </w:tr>
    </w:tbl>
    <w:p>
      <w:pPr>
        <w:pStyle w:val="4"/>
        <w:spacing w:line="560" w:lineRule="exact"/>
        <w:jc w:val="center"/>
        <w:rPr>
          <w:rFonts w:ascii="宋体" w:hAnsi="宋体" w:eastAsia="宋体" w:cs="宋体"/>
        </w:rPr>
      </w:pPr>
      <w:bookmarkStart w:id="83" w:name="_Toc29926"/>
      <w:r>
        <w:rPr>
          <w:rFonts w:hint="eastAsia" w:ascii="宋体" w:hAnsi="宋体" w:eastAsia="宋体" w:cs="宋体"/>
        </w:rPr>
        <w:t>11.5县级地震灾害应急响应对应表</w:t>
      </w:r>
      <w:bookmarkEnd w:id="83"/>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253"/>
        <w:gridCol w:w="3520"/>
        <w:gridCol w:w="3128"/>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19" w:type="pct"/>
            <w:noWrap/>
            <w:vAlign w:val="center"/>
          </w:tcPr>
          <w:p>
            <w:pPr>
              <w:widowControl/>
              <w:jc w:val="center"/>
              <w:rPr>
                <w:rFonts w:ascii="黑体" w:hAnsi="黑体" w:eastAsia="黑体" w:cs="黑体"/>
                <w:kern w:val="0"/>
                <w:sz w:val="32"/>
                <w:szCs w:val="32"/>
              </w:rPr>
            </w:pPr>
            <w:r>
              <w:rPr>
                <w:rFonts w:hint="eastAsia" w:ascii="黑体" w:hAnsi="黑体" w:eastAsia="黑体" w:cs="黑体"/>
                <w:kern w:val="0"/>
                <w:sz w:val="32"/>
                <w:szCs w:val="32"/>
              </w:rPr>
              <w:t>应急响</w:t>
            </w:r>
          </w:p>
          <w:p>
            <w:pPr>
              <w:widowControl/>
              <w:jc w:val="center"/>
              <w:rPr>
                <w:rFonts w:ascii="黑体" w:hAnsi="黑体" w:eastAsia="黑体" w:cs="黑体"/>
                <w:kern w:val="0"/>
                <w:sz w:val="32"/>
                <w:szCs w:val="32"/>
              </w:rPr>
            </w:pPr>
            <w:r>
              <w:rPr>
                <w:rFonts w:hint="eastAsia" w:ascii="黑体" w:hAnsi="黑体" w:eastAsia="黑体" w:cs="黑体"/>
                <w:kern w:val="0"/>
                <w:sz w:val="32"/>
                <w:szCs w:val="32"/>
              </w:rPr>
              <w:t>应级别</w:t>
            </w:r>
          </w:p>
        </w:tc>
        <w:tc>
          <w:tcPr>
            <w:tcW w:w="1143" w:type="pct"/>
            <w:noWrap/>
            <w:vAlign w:val="center"/>
          </w:tcPr>
          <w:p>
            <w:pPr>
              <w:widowControl/>
              <w:jc w:val="center"/>
              <w:textAlignment w:val="center"/>
              <w:rPr>
                <w:rFonts w:ascii="黑体" w:hAnsi="黑体" w:eastAsia="黑体" w:cs="黑体"/>
                <w:sz w:val="32"/>
                <w:szCs w:val="32"/>
              </w:rPr>
            </w:pPr>
            <w:r>
              <w:rPr>
                <w:rFonts w:hint="eastAsia" w:ascii="黑体" w:hAnsi="黑体" w:eastAsia="黑体" w:cs="黑体"/>
                <w:sz w:val="32"/>
                <w:szCs w:val="32"/>
              </w:rPr>
              <w:t>一级响应</w:t>
            </w:r>
          </w:p>
        </w:tc>
        <w:tc>
          <w:tcPr>
            <w:tcW w:w="1237" w:type="pct"/>
            <w:noWrap/>
            <w:vAlign w:val="center"/>
          </w:tcPr>
          <w:p>
            <w:pPr>
              <w:widowControl/>
              <w:jc w:val="center"/>
              <w:textAlignment w:val="center"/>
              <w:rPr>
                <w:rFonts w:ascii="黑体" w:hAnsi="黑体" w:eastAsia="黑体" w:cs="黑体"/>
                <w:sz w:val="32"/>
                <w:szCs w:val="32"/>
              </w:rPr>
            </w:pPr>
            <w:r>
              <w:rPr>
                <w:rFonts w:hint="eastAsia" w:ascii="黑体" w:hAnsi="黑体" w:eastAsia="黑体" w:cs="黑体"/>
                <w:sz w:val="32"/>
                <w:szCs w:val="32"/>
              </w:rPr>
              <w:t>二级响应</w:t>
            </w:r>
          </w:p>
        </w:tc>
        <w:tc>
          <w:tcPr>
            <w:tcW w:w="1099" w:type="pct"/>
            <w:noWrap/>
            <w:vAlign w:val="center"/>
          </w:tcPr>
          <w:p>
            <w:pPr>
              <w:widowControl/>
              <w:jc w:val="center"/>
              <w:textAlignment w:val="center"/>
              <w:rPr>
                <w:rFonts w:ascii="黑体" w:hAnsi="黑体" w:eastAsia="黑体" w:cs="黑体"/>
                <w:sz w:val="32"/>
                <w:szCs w:val="32"/>
              </w:rPr>
            </w:pPr>
            <w:r>
              <w:rPr>
                <w:rFonts w:hint="eastAsia" w:ascii="黑体" w:hAnsi="黑体" w:eastAsia="黑体" w:cs="黑体"/>
                <w:sz w:val="32"/>
                <w:szCs w:val="32"/>
              </w:rPr>
              <w:t>三级响应</w:t>
            </w:r>
          </w:p>
        </w:tc>
        <w:tc>
          <w:tcPr>
            <w:tcW w:w="1099" w:type="pct"/>
            <w:noWrap/>
            <w:vAlign w:val="center"/>
          </w:tcPr>
          <w:p>
            <w:pPr>
              <w:widowControl/>
              <w:jc w:val="center"/>
              <w:textAlignment w:val="center"/>
              <w:rPr>
                <w:rFonts w:ascii="黑体" w:hAnsi="黑体" w:eastAsia="黑体" w:cs="黑体"/>
                <w:sz w:val="32"/>
                <w:szCs w:val="32"/>
              </w:rPr>
            </w:pPr>
            <w:r>
              <w:rPr>
                <w:rFonts w:hint="eastAsia" w:ascii="黑体" w:hAnsi="黑体" w:eastAsia="黑体" w:cs="黑体"/>
                <w:sz w:val="32"/>
                <w:szCs w:val="32"/>
              </w:rPr>
              <w:t>四级响应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4" w:hRule="atLeast"/>
          <w:jc w:val="center"/>
        </w:trPr>
        <w:tc>
          <w:tcPr>
            <w:tcW w:w="419" w:type="pct"/>
            <w:noWrap/>
            <w:vAlign w:val="center"/>
          </w:tcPr>
          <w:p>
            <w:pPr>
              <w:widowControl/>
              <w:jc w:val="center"/>
              <w:textAlignment w:val="center"/>
              <w:rPr>
                <w:rFonts w:ascii="仿宋_GB2312" w:hAnsi="黑体" w:cs="黑体"/>
                <w:kern w:val="0"/>
                <w:sz w:val="28"/>
                <w:szCs w:val="28"/>
              </w:rPr>
            </w:pPr>
            <w:r>
              <w:rPr>
                <w:rFonts w:hint="eastAsia" w:ascii="黑体" w:hAnsi="黑体" w:eastAsia="黑体" w:cs="黑体"/>
                <w:kern w:val="0"/>
                <w:sz w:val="30"/>
                <w:szCs w:val="30"/>
              </w:rPr>
              <w:t>分级标准</w:t>
            </w:r>
          </w:p>
        </w:tc>
        <w:tc>
          <w:tcPr>
            <w:tcW w:w="1143" w:type="pct"/>
            <w:noWrap/>
          </w:tcPr>
          <w:p>
            <w:pPr>
              <w:pStyle w:val="15"/>
              <w:spacing w:before="0" w:beforeAutospacing="0" w:after="0" w:afterAutospacing="0" w:line="380" w:lineRule="exact"/>
              <w:ind w:left="0" w:leftChars="0" w:firstLine="420"/>
            </w:pPr>
            <w:r>
              <w:t>符合以下情形之一时，启动</w:t>
            </w:r>
            <w:r>
              <w:rPr>
                <w:rFonts w:hint="eastAsia"/>
              </w:rPr>
              <w:t>一</w:t>
            </w:r>
            <w:r>
              <w:t>级响应：</w:t>
            </w:r>
          </w:p>
          <w:p>
            <w:pPr>
              <w:widowControl/>
              <w:spacing w:line="400" w:lineRule="exact"/>
              <w:ind w:firstLine="480" w:firstLineChars="200"/>
              <w:textAlignment w:val="center"/>
              <w:rPr>
                <w:rFonts w:ascii="宋体" w:hAnsi="宋体" w:eastAsia="宋体" w:cs="仿宋"/>
                <w:sz w:val="24"/>
                <w:lang w:val="zh-CN"/>
              </w:rPr>
            </w:pPr>
            <w:r>
              <w:rPr>
                <w:rFonts w:hint="eastAsia" w:ascii="宋体" w:hAnsi="宋体" w:eastAsia="宋体" w:cs="仿宋"/>
                <w:sz w:val="24"/>
              </w:rPr>
              <w:t>1、县域发生造成50人以上、300人以下死亡（含失踪）或造成严重经济损失的重大及以上级别地震灾害</w:t>
            </w:r>
            <w:r>
              <w:rPr>
                <w:rFonts w:hint="eastAsia" w:ascii="宋体" w:hAnsi="宋体" w:eastAsia="宋体" w:cs="仿宋"/>
                <w:sz w:val="24"/>
                <w:lang w:val="zh-CN"/>
              </w:rPr>
              <w:t>。</w:t>
            </w:r>
          </w:p>
          <w:p>
            <w:pPr>
              <w:pStyle w:val="15"/>
              <w:spacing w:before="0" w:beforeAutospacing="0" w:after="0" w:afterAutospacing="0" w:line="400" w:lineRule="exact"/>
              <w:ind w:left="0" w:leftChars="0" w:firstLine="480"/>
              <w:rPr>
                <w:rFonts w:ascii="宋体" w:hAnsi="宋体" w:cs="仿宋"/>
                <w:sz w:val="24"/>
              </w:rPr>
            </w:pPr>
            <w:r>
              <w:rPr>
                <w:rFonts w:hint="eastAsia" w:ascii="宋体" w:hAnsi="宋体" w:cs="仿宋"/>
                <w:sz w:val="24"/>
              </w:rPr>
              <w:t>2、当3个及以上乡镇发生6.0</w:t>
            </w:r>
            <w:r>
              <w:rPr>
                <w:rFonts w:hint="eastAsia" w:ascii="宋体" w:hAnsi="宋体" w:cs="仿宋_GB2312"/>
                <w:sz w:val="24"/>
              </w:rPr>
              <w:t>～</w:t>
            </w:r>
            <w:r>
              <w:rPr>
                <w:rFonts w:hint="eastAsia" w:ascii="宋体" w:hAnsi="宋体" w:cs="仿宋"/>
                <w:sz w:val="24"/>
              </w:rPr>
              <w:t>7.0级地震，县城发生6.0</w:t>
            </w:r>
            <w:r>
              <w:rPr>
                <w:rFonts w:hint="eastAsia" w:ascii="宋体" w:hAnsi="宋体" w:cs="仿宋_GB2312"/>
                <w:sz w:val="24"/>
              </w:rPr>
              <w:t>～</w:t>
            </w:r>
            <w:r>
              <w:rPr>
                <w:rFonts w:hint="eastAsia" w:ascii="宋体" w:hAnsi="宋体" w:cs="仿宋"/>
                <w:sz w:val="24"/>
              </w:rPr>
              <w:t>5.0级地震时。</w:t>
            </w:r>
          </w:p>
          <w:p>
            <w:pPr>
              <w:pStyle w:val="10"/>
              <w:spacing w:before="0" w:beforeAutospacing="0" w:after="0" w:afterAutospacing="0" w:line="400" w:lineRule="exact"/>
              <w:ind w:firstLine="480" w:firstLineChars="200"/>
              <w:jc w:val="both"/>
              <w:rPr>
                <w:rFonts w:cs="仿宋"/>
              </w:rPr>
            </w:pPr>
            <w:r>
              <w:rPr>
                <w:rFonts w:hint="eastAsia" w:cs="仿宋"/>
              </w:rPr>
              <w:t>3、市、县地震部门发布县域内可能发生6.0级以上地震预警时。</w:t>
            </w:r>
          </w:p>
          <w:p>
            <w:pPr>
              <w:spacing w:line="400" w:lineRule="exact"/>
              <w:ind w:firstLine="200"/>
              <w:rPr>
                <w:rFonts w:ascii="宋体" w:hAnsi="宋体" w:eastAsia="宋体"/>
                <w:sz w:val="24"/>
              </w:rPr>
            </w:pPr>
            <w:r>
              <w:rPr>
                <w:rFonts w:hint="eastAsia" w:ascii="宋体" w:hAnsi="宋体" w:eastAsia="宋体"/>
                <w:sz w:val="24"/>
              </w:rPr>
              <w:t>4、县指挥部认为需要启动一级响应的其他情形。</w:t>
            </w:r>
          </w:p>
        </w:tc>
        <w:tc>
          <w:tcPr>
            <w:tcW w:w="1237" w:type="pct"/>
            <w:noWrap/>
          </w:tcPr>
          <w:p>
            <w:pPr>
              <w:pStyle w:val="15"/>
              <w:spacing w:before="0" w:beforeAutospacing="0" w:after="0" w:afterAutospacing="0" w:line="380" w:lineRule="exact"/>
              <w:ind w:left="0" w:leftChars="0" w:firstLine="420"/>
            </w:pPr>
            <w:r>
              <w:t>符合以下情形之一时，启动</w:t>
            </w:r>
            <w:r>
              <w:rPr>
                <w:rFonts w:hint="eastAsia"/>
              </w:rPr>
              <w:t>二</w:t>
            </w:r>
            <w:r>
              <w:t>级响应：</w:t>
            </w:r>
          </w:p>
          <w:p>
            <w:pPr>
              <w:widowControl/>
              <w:spacing w:line="400" w:lineRule="exact"/>
              <w:ind w:firstLine="480" w:firstLineChars="200"/>
              <w:textAlignment w:val="center"/>
              <w:rPr>
                <w:rFonts w:ascii="宋体" w:hAnsi="宋体" w:eastAsia="宋体" w:cs="仿宋"/>
                <w:sz w:val="24"/>
                <w:lang w:val="zh-CN"/>
              </w:rPr>
            </w:pPr>
            <w:r>
              <w:rPr>
                <w:rFonts w:hint="eastAsia" w:ascii="宋体" w:hAnsi="宋体" w:eastAsia="宋体" w:cs="仿宋"/>
                <w:sz w:val="24"/>
              </w:rPr>
              <w:t>1、县域发生造成10人以上、50人以下死亡（含失踪）或造成较重经济损失的较大地震灾害时。</w:t>
            </w:r>
          </w:p>
          <w:p>
            <w:pPr>
              <w:pStyle w:val="15"/>
              <w:spacing w:before="0" w:beforeAutospacing="0" w:after="0" w:afterAutospacing="0" w:line="400" w:lineRule="exact"/>
              <w:ind w:left="0" w:leftChars="0" w:firstLine="480"/>
              <w:rPr>
                <w:rFonts w:ascii="宋体" w:hAnsi="宋体" w:cs="仿宋"/>
                <w:sz w:val="24"/>
              </w:rPr>
            </w:pPr>
            <w:r>
              <w:rPr>
                <w:rFonts w:hint="eastAsia" w:ascii="宋体" w:hAnsi="宋体" w:cs="仿宋"/>
                <w:sz w:val="24"/>
              </w:rPr>
              <w:t>2、当2个乡镇发生5.0</w:t>
            </w:r>
            <w:r>
              <w:rPr>
                <w:rFonts w:hint="eastAsia" w:ascii="宋体" w:hAnsi="宋体" w:cs="仿宋_GB2312"/>
                <w:sz w:val="24"/>
              </w:rPr>
              <w:t>～</w:t>
            </w:r>
            <w:r>
              <w:rPr>
                <w:rFonts w:hint="eastAsia" w:ascii="宋体" w:hAnsi="宋体" w:cs="仿宋"/>
                <w:sz w:val="24"/>
              </w:rPr>
              <w:t>6.0级地震，县城发生5.0</w:t>
            </w:r>
            <w:r>
              <w:rPr>
                <w:rFonts w:hint="eastAsia" w:ascii="宋体" w:hAnsi="宋体" w:cs="仿宋_GB2312"/>
                <w:sz w:val="24"/>
              </w:rPr>
              <w:t>～</w:t>
            </w:r>
            <w:r>
              <w:rPr>
                <w:rFonts w:hint="eastAsia" w:ascii="宋体" w:hAnsi="宋体" w:cs="仿宋"/>
                <w:sz w:val="24"/>
              </w:rPr>
              <w:t>4.0级地震时。</w:t>
            </w:r>
          </w:p>
          <w:p>
            <w:pPr>
              <w:widowControl/>
              <w:spacing w:line="400" w:lineRule="exact"/>
              <w:ind w:firstLine="480" w:firstLineChars="200"/>
              <w:textAlignment w:val="center"/>
              <w:rPr>
                <w:rFonts w:ascii="宋体" w:hAnsi="宋体" w:eastAsia="宋体" w:cs="仿宋"/>
                <w:sz w:val="24"/>
              </w:rPr>
            </w:pPr>
            <w:r>
              <w:rPr>
                <w:rFonts w:hint="eastAsia" w:ascii="宋体" w:hAnsi="宋体" w:eastAsia="宋体" w:cs="仿宋"/>
                <w:sz w:val="24"/>
              </w:rPr>
              <w:t>3、市、县地震监测部门发布县域内可能发生6.0</w:t>
            </w:r>
            <w:r>
              <w:rPr>
                <w:rFonts w:hint="eastAsia" w:ascii="宋体" w:hAnsi="宋体" w:eastAsia="宋体" w:cs="仿宋_GB2312"/>
                <w:sz w:val="24"/>
              </w:rPr>
              <w:t>～</w:t>
            </w:r>
            <w:r>
              <w:rPr>
                <w:rFonts w:hint="eastAsia" w:ascii="宋体" w:hAnsi="宋体" w:eastAsia="宋体" w:cs="仿宋"/>
                <w:sz w:val="24"/>
              </w:rPr>
              <w:t>5.0级地震预警时。</w:t>
            </w:r>
          </w:p>
          <w:p>
            <w:pPr>
              <w:pStyle w:val="15"/>
              <w:spacing w:before="0" w:beforeAutospacing="0" w:after="0" w:afterAutospacing="0" w:line="400" w:lineRule="exact"/>
              <w:ind w:left="0" w:leftChars="0" w:firstLine="480"/>
              <w:rPr>
                <w:rFonts w:ascii="宋体" w:hAnsi="宋体"/>
                <w:sz w:val="24"/>
              </w:rPr>
            </w:pPr>
            <w:r>
              <w:rPr>
                <w:rFonts w:hint="eastAsia" w:ascii="宋体" w:hAnsi="宋体"/>
                <w:sz w:val="24"/>
              </w:rPr>
              <w:t>4、县</w:t>
            </w:r>
            <w:r>
              <w:rPr>
                <w:rFonts w:ascii="宋体" w:hAnsi="宋体"/>
                <w:sz w:val="24"/>
              </w:rPr>
              <w:t>指挥部认为需要启动</w:t>
            </w:r>
            <w:r>
              <w:rPr>
                <w:rFonts w:hint="eastAsia" w:ascii="宋体" w:hAnsi="宋体"/>
                <w:sz w:val="24"/>
              </w:rPr>
              <w:t>二</w:t>
            </w:r>
            <w:r>
              <w:rPr>
                <w:rFonts w:ascii="宋体" w:hAnsi="宋体"/>
                <w:sz w:val="24"/>
              </w:rPr>
              <w:t>级响应的其他情形。</w:t>
            </w:r>
          </w:p>
        </w:tc>
        <w:tc>
          <w:tcPr>
            <w:tcW w:w="1099" w:type="pct"/>
            <w:noWrap/>
          </w:tcPr>
          <w:p>
            <w:pPr>
              <w:pStyle w:val="15"/>
              <w:spacing w:before="0" w:beforeAutospacing="0" w:after="0" w:afterAutospacing="0" w:line="380" w:lineRule="exact"/>
              <w:ind w:left="0" w:leftChars="0" w:firstLine="420"/>
            </w:pPr>
            <w:r>
              <w:t>符合以下情形之一时，启动</w:t>
            </w:r>
            <w:r>
              <w:rPr>
                <w:rFonts w:hint="eastAsia"/>
              </w:rPr>
              <w:t>三</w:t>
            </w:r>
            <w:r>
              <w:t>级响应：</w:t>
            </w:r>
          </w:p>
          <w:p>
            <w:pPr>
              <w:widowControl/>
              <w:spacing w:line="400" w:lineRule="exact"/>
              <w:ind w:firstLine="480" w:firstLineChars="200"/>
              <w:textAlignment w:val="center"/>
              <w:rPr>
                <w:rFonts w:ascii="宋体" w:hAnsi="宋体" w:eastAsia="宋体" w:cs="仿宋"/>
                <w:sz w:val="24"/>
                <w:lang w:val="zh-CN"/>
              </w:rPr>
            </w:pPr>
            <w:r>
              <w:rPr>
                <w:rFonts w:hint="eastAsia" w:ascii="宋体" w:hAnsi="宋体" w:eastAsia="宋体" w:cs="仿宋"/>
                <w:sz w:val="24"/>
              </w:rPr>
              <w:t>1、县域发生造成10人以下死亡（含失踪）或造成一定经济损失的一般地震灾害时。</w:t>
            </w:r>
          </w:p>
          <w:p>
            <w:pPr>
              <w:pStyle w:val="15"/>
              <w:spacing w:before="0" w:beforeAutospacing="0" w:after="0" w:afterAutospacing="0" w:line="400" w:lineRule="exact"/>
              <w:ind w:left="0" w:leftChars="0" w:firstLine="480"/>
              <w:rPr>
                <w:rFonts w:ascii="宋体" w:hAnsi="宋体" w:cs="仿宋"/>
                <w:sz w:val="24"/>
              </w:rPr>
            </w:pPr>
            <w:r>
              <w:rPr>
                <w:rFonts w:hint="eastAsia" w:ascii="宋体" w:hAnsi="宋体" w:cs="仿宋"/>
                <w:sz w:val="24"/>
              </w:rPr>
              <w:t>2、当1个乡镇发生4.0</w:t>
            </w:r>
            <w:r>
              <w:rPr>
                <w:rFonts w:hint="eastAsia" w:ascii="宋体" w:hAnsi="宋体" w:cs="仿宋_GB2312"/>
                <w:sz w:val="24"/>
              </w:rPr>
              <w:t>～</w:t>
            </w:r>
            <w:r>
              <w:rPr>
                <w:rFonts w:hint="eastAsia" w:ascii="宋体" w:hAnsi="宋体" w:cs="仿宋"/>
                <w:sz w:val="24"/>
              </w:rPr>
              <w:t>5.0级地震时。</w:t>
            </w:r>
          </w:p>
          <w:p>
            <w:pPr>
              <w:widowControl/>
              <w:spacing w:line="400" w:lineRule="exact"/>
              <w:ind w:firstLine="480" w:firstLineChars="200"/>
              <w:textAlignment w:val="center"/>
              <w:rPr>
                <w:rFonts w:ascii="宋体" w:hAnsi="宋体" w:eastAsia="宋体" w:cs="仿宋"/>
                <w:sz w:val="24"/>
              </w:rPr>
            </w:pPr>
            <w:r>
              <w:rPr>
                <w:rFonts w:hint="eastAsia" w:ascii="宋体" w:hAnsi="宋体" w:eastAsia="宋体" w:cs="仿宋"/>
                <w:sz w:val="24"/>
              </w:rPr>
              <w:t>3、市、县地震监测部门发布县域内可能发生5.0</w:t>
            </w:r>
            <w:r>
              <w:rPr>
                <w:rFonts w:hint="eastAsia" w:ascii="宋体" w:hAnsi="宋体" w:eastAsia="宋体" w:cs="仿宋_GB2312"/>
                <w:sz w:val="24"/>
              </w:rPr>
              <w:t>～</w:t>
            </w:r>
            <w:r>
              <w:rPr>
                <w:rFonts w:hint="eastAsia" w:ascii="宋体" w:hAnsi="宋体" w:eastAsia="宋体" w:cs="仿宋"/>
                <w:sz w:val="24"/>
              </w:rPr>
              <w:t>4.0级地震预警时。</w:t>
            </w:r>
          </w:p>
          <w:p>
            <w:pPr>
              <w:pStyle w:val="15"/>
              <w:spacing w:before="0" w:beforeAutospacing="0" w:after="0" w:afterAutospacing="0" w:line="400" w:lineRule="exact"/>
              <w:ind w:left="0" w:leftChars="0" w:firstLine="480"/>
              <w:rPr>
                <w:rFonts w:ascii="宋体" w:hAnsi="宋体"/>
                <w:sz w:val="24"/>
              </w:rPr>
            </w:pPr>
            <w:r>
              <w:rPr>
                <w:rFonts w:hint="eastAsia" w:ascii="宋体" w:hAnsi="宋体"/>
                <w:sz w:val="24"/>
              </w:rPr>
              <w:t>4.现场指挥部认为需要启动三级响应的其他情形。</w:t>
            </w:r>
          </w:p>
        </w:tc>
        <w:tc>
          <w:tcPr>
            <w:tcW w:w="1099" w:type="pct"/>
            <w:noWrap/>
          </w:tcPr>
          <w:p>
            <w:pPr>
              <w:pStyle w:val="15"/>
              <w:spacing w:before="0" w:beforeAutospacing="0" w:after="0" w:afterAutospacing="0" w:line="380" w:lineRule="exact"/>
              <w:ind w:left="0" w:leftChars="0" w:firstLine="420"/>
            </w:pPr>
            <w:r>
              <w:t>符合以下情形之一时，启动</w:t>
            </w:r>
            <w:r>
              <w:rPr>
                <w:rFonts w:hint="eastAsia"/>
              </w:rPr>
              <w:t>四</w:t>
            </w:r>
            <w:r>
              <w:t>级响应：</w:t>
            </w:r>
          </w:p>
          <w:p>
            <w:pPr>
              <w:widowControl/>
              <w:spacing w:line="400" w:lineRule="exact"/>
              <w:ind w:firstLine="480" w:firstLineChars="200"/>
              <w:textAlignment w:val="center"/>
              <w:rPr>
                <w:rFonts w:ascii="宋体" w:hAnsi="宋体" w:eastAsia="宋体"/>
                <w:sz w:val="24"/>
                <w:lang w:val="zh-CN"/>
              </w:rPr>
            </w:pPr>
            <w:r>
              <w:rPr>
                <w:rFonts w:hint="eastAsia" w:ascii="宋体" w:hAnsi="宋体" w:eastAsia="宋体"/>
                <w:sz w:val="24"/>
              </w:rPr>
              <w:t>1、县域发生造成10人以下死亡（含失踪）或造成一定经济损失的一般地震灾害时。</w:t>
            </w:r>
          </w:p>
          <w:p>
            <w:pPr>
              <w:widowControl/>
              <w:spacing w:line="400" w:lineRule="exact"/>
              <w:ind w:firstLine="480" w:firstLineChars="200"/>
              <w:rPr>
                <w:rFonts w:ascii="宋体" w:hAnsi="宋体" w:eastAsia="宋体"/>
                <w:sz w:val="24"/>
              </w:rPr>
            </w:pPr>
            <w:r>
              <w:rPr>
                <w:rFonts w:hint="eastAsia" w:ascii="宋体" w:hAnsi="宋体" w:eastAsia="宋体"/>
                <w:sz w:val="24"/>
              </w:rPr>
              <w:t>2、当1个乡镇发生4.0级以下有感地震时。</w:t>
            </w:r>
          </w:p>
          <w:p>
            <w:pPr>
              <w:pStyle w:val="15"/>
              <w:spacing w:before="0" w:beforeAutospacing="0" w:after="0" w:afterAutospacing="0" w:line="400" w:lineRule="exact"/>
              <w:ind w:left="0" w:leftChars="0" w:firstLine="480"/>
              <w:rPr>
                <w:rFonts w:ascii="宋体" w:hAnsi="宋体" w:cs="仿宋"/>
                <w:sz w:val="24"/>
              </w:rPr>
            </w:pPr>
            <w:r>
              <w:rPr>
                <w:rFonts w:hint="eastAsia" w:ascii="宋体" w:hAnsi="宋体" w:cs="仿宋"/>
                <w:sz w:val="24"/>
              </w:rPr>
              <w:t>3、市、县地震监测部门发布县域内可能发生4.0</w:t>
            </w:r>
            <w:r>
              <w:rPr>
                <w:rFonts w:hint="eastAsia" w:ascii="宋体" w:hAnsi="宋体" w:cs="仿宋_GB2312"/>
                <w:sz w:val="24"/>
              </w:rPr>
              <w:t>～</w:t>
            </w:r>
            <w:r>
              <w:rPr>
                <w:rFonts w:hint="eastAsia" w:ascii="宋体" w:hAnsi="宋体" w:cs="仿宋"/>
                <w:sz w:val="24"/>
              </w:rPr>
              <w:t>3.0级（有感）地震预警时。</w:t>
            </w:r>
          </w:p>
          <w:p>
            <w:pPr>
              <w:pStyle w:val="10"/>
              <w:spacing w:before="0" w:beforeAutospacing="0" w:after="0" w:afterAutospacing="0" w:line="400" w:lineRule="exact"/>
              <w:ind w:firstLine="200"/>
              <w:jc w:val="both"/>
            </w:pPr>
            <w:r>
              <w:t>4.</w:t>
            </w:r>
            <w:r>
              <w:rPr>
                <w:rFonts w:hint="eastAsia"/>
              </w:rPr>
              <w:t>县</w:t>
            </w:r>
            <w:r>
              <w:t>指挥部办公室认为需要启动</w:t>
            </w:r>
            <w:r>
              <w:rPr>
                <w:rFonts w:hint="eastAsia"/>
              </w:rPr>
              <w:t>四</w:t>
            </w:r>
            <w:r>
              <w:t>级响应的其他情形。</w:t>
            </w:r>
          </w:p>
        </w:tc>
      </w:tr>
    </w:tbl>
    <w:p>
      <w:pPr>
        <w:pStyle w:val="15"/>
        <w:ind w:left="420" w:firstLine="420"/>
        <w:rPr>
          <w:lang w:val="zh-CN"/>
        </w:rPr>
        <w:sectPr>
          <w:pgSz w:w="16840" w:h="11907" w:orient="landscape"/>
          <w:pgMar w:top="1701" w:right="1418" w:bottom="1418" w:left="1418" w:header="0" w:footer="1701" w:gutter="0"/>
          <w:cols w:space="720" w:num="1"/>
          <w:docGrid w:linePitch="490" w:charSpace="-842"/>
        </w:sectPr>
      </w:pPr>
    </w:p>
    <w:p>
      <w:pPr>
        <w:rPr>
          <w:rFonts w:ascii="宋体" w:hAnsi="宋体" w:eastAsia="宋体" w:cs="宋体"/>
          <w:b/>
          <w:bCs/>
          <w:sz w:val="36"/>
          <w:szCs w:val="36"/>
        </w:rPr>
      </w:pPr>
    </w:p>
    <w:p>
      <w:pPr>
        <w:pStyle w:val="2"/>
        <w:ind w:firstLine="640"/>
        <w:rPr>
          <w:rFonts w:ascii="仿宋_GB2312" w:hAnsi="仿宋_GB2312" w:eastAsia="仿宋_GB2312" w:cs="仿宋_GB2312"/>
          <w:sz w:val="32"/>
          <w:szCs w:val="32"/>
        </w:rPr>
      </w:pPr>
    </w:p>
    <w:sectPr>
      <w:footerReference r:id="rId8" w:type="default"/>
      <w:pgSz w:w="11906" w:h="16838"/>
      <w:pgMar w:top="1871" w:right="1800" w:bottom="17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210" w:leftChars="100" w:right="210" w:rightChars="100"/>
                            <w:jc w:val="right"/>
                            <w:rPr>
                              <w:rStyle w:val="13"/>
                              <w:sz w:val="28"/>
                            </w:rPr>
                          </w:pPr>
                          <w:r>
                            <w:rPr>
                              <w:rStyle w:val="13"/>
                              <w:sz w:val="28"/>
                            </w:rPr>
                            <w:t>—</w:t>
                          </w:r>
                          <w:r>
                            <w:rPr>
                              <w:rFonts w:ascii="宋体" w:hAnsi="宋体" w:eastAsia="宋体"/>
                              <w:sz w:val="28"/>
                            </w:rPr>
                            <w:fldChar w:fldCharType="begin"/>
                          </w:r>
                          <w:r>
                            <w:rPr>
                              <w:rStyle w:val="13"/>
                              <w:rFonts w:ascii="宋体" w:hAnsi="宋体" w:eastAsia="宋体"/>
                              <w:sz w:val="28"/>
                            </w:rPr>
                            <w:instrText xml:space="preserve">PAGE  </w:instrText>
                          </w:r>
                          <w:r>
                            <w:rPr>
                              <w:rFonts w:ascii="宋体" w:hAnsi="宋体" w:eastAsia="宋体"/>
                              <w:sz w:val="28"/>
                            </w:rPr>
                            <w:fldChar w:fldCharType="separate"/>
                          </w:r>
                          <w:r>
                            <w:rPr>
                              <w:rStyle w:val="13"/>
                              <w:rFonts w:ascii="宋体" w:hAnsi="宋体" w:eastAsia="宋体"/>
                              <w:sz w:val="28"/>
                            </w:rPr>
                            <w:t>33</w:t>
                          </w:r>
                          <w:r>
                            <w:rPr>
                              <w:rFonts w:ascii="宋体" w:hAnsi="宋体" w:eastAsia="宋体"/>
                              <w:sz w:val="28"/>
                            </w:rPr>
                            <w:fldChar w:fldCharType="end"/>
                          </w:r>
                          <w:r>
                            <w:rPr>
                              <w:rStyle w:val="13"/>
                              <w:sz w:val="28"/>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pStyle w:val="6"/>
                      <w:ind w:left="210" w:leftChars="100" w:right="210" w:rightChars="100"/>
                      <w:jc w:val="right"/>
                      <w:rPr>
                        <w:rStyle w:val="13"/>
                        <w:sz w:val="28"/>
                      </w:rPr>
                    </w:pPr>
                    <w:r>
                      <w:rPr>
                        <w:rStyle w:val="13"/>
                        <w:sz w:val="28"/>
                      </w:rPr>
                      <w:t>—</w:t>
                    </w:r>
                    <w:r>
                      <w:rPr>
                        <w:rFonts w:ascii="宋体" w:hAnsi="宋体" w:eastAsia="宋体"/>
                        <w:sz w:val="28"/>
                      </w:rPr>
                      <w:fldChar w:fldCharType="begin"/>
                    </w:r>
                    <w:r>
                      <w:rPr>
                        <w:rStyle w:val="13"/>
                        <w:rFonts w:ascii="宋体" w:hAnsi="宋体" w:eastAsia="宋体"/>
                        <w:sz w:val="28"/>
                      </w:rPr>
                      <w:instrText xml:space="preserve">PAGE  </w:instrText>
                    </w:r>
                    <w:r>
                      <w:rPr>
                        <w:rFonts w:ascii="宋体" w:hAnsi="宋体" w:eastAsia="宋体"/>
                        <w:sz w:val="28"/>
                      </w:rPr>
                      <w:fldChar w:fldCharType="separate"/>
                    </w:r>
                    <w:r>
                      <w:rPr>
                        <w:rStyle w:val="13"/>
                        <w:rFonts w:ascii="宋体" w:hAnsi="宋体" w:eastAsia="宋体"/>
                        <w:sz w:val="28"/>
                      </w:rPr>
                      <w:t>33</w:t>
                    </w:r>
                    <w:r>
                      <w:rPr>
                        <w:rFonts w:ascii="宋体" w:hAnsi="宋体" w:eastAsia="宋体"/>
                        <w:sz w:val="28"/>
                      </w:rPr>
                      <w:fldChar w:fldCharType="end"/>
                    </w:r>
                    <w:r>
                      <w:rPr>
                        <w:rStyle w:val="13"/>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210" w:leftChars="100" w:right="210" w:rightChars="100"/>
                            <w:jc w:val="right"/>
                            <w:rPr>
                              <w:rStyle w:val="13"/>
                              <w:sz w:val="28"/>
                            </w:rPr>
                          </w:pPr>
                          <w:r>
                            <w:rPr>
                              <w:rStyle w:val="13"/>
                              <w:sz w:val="28"/>
                            </w:rPr>
                            <w:t>—</w:t>
                          </w:r>
                          <w:r>
                            <w:rPr>
                              <w:rFonts w:ascii="宋体" w:hAnsi="宋体" w:eastAsia="宋体"/>
                              <w:sz w:val="28"/>
                            </w:rPr>
                            <w:fldChar w:fldCharType="begin"/>
                          </w:r>
                          <w:r>
                            <w:rPr>
                              <w:rStyle w:val="13"/>
                              <w:rFonts w:ascii="宋体" w:hAnsi="宋体" w:eastAsia="宋体"/>
                              <w:sz w:val="28"/>
                            </w:rPr>
                            <w:instrText xml:space="preserve">PAGE  </w:instrText>
                          </w:r>
                          <w:r>
                            <w:rPr>
                              <w:rFonts w:ascii="宋体" w:hAnsi="宋体" w:eastAsia="宋体"/>
                              <w:sz w:val="28"/>
                            </w:rPr>
                            <w:fldChar w:fldCharType="separate"/>
                          </w:r>
                          <w:r>
                            <w:rPr>
                              <w:rStyle w:val="13"/>
                              <w:rFonts w:ascii="宋体" w:hAnsi="宋体" w:eastAsia="宋体"/>
                              <w:sz w:val="28"/>
                            </w:rPr>
                            <w:t>34</w:t>
                          </w:r>
                          <w:r>
                            <w:rPr>
                              <w:rFonts w:ascii="宋体" w:hAnsi="宋体" w:eastAsia="宋体"/>
                              <w:sz w:val="28"/>
                            </w:rPr>
                            <w:fldChar w:fldCharType="end"/>
                          </w:r>
                          <w:r>
                            <w:rPr>
                              <w:rStyle w:val="13"/>
                              <w:sz w:val="28"/>
                            </w:rPr>
                            <w:t>—</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pPr>
                      <w:pStyle w:val="6"/>
                      <w:ind w:left="210" w:leftChars="100" w:right="210" w:rightChars="100"/>
                      <w:jc w:val="right"/>
                      <w:rPr>
                        <w:rStyle w:val="13"/>
                        <w:sz w:val="28"/>
                      </w:rPr>
                    </w:pPr>
                    <w:r>
                      <w:rPr>
                        <w:rStyle w:val="13"/>
                        <w:sz w:val="28"/>
                      </w:rPr>
                      <w:t>—</w:t>
                    </w:r>
                    <w:r>
                      <w:rPr>
                        <w:rFonts w:ascii="宋体" w:hAnsi="宋体" w:eastAsia="宋体"/>
                        <w:sz w:val="28"/>
                      </w:rPr>
                      <w:fldChar w:fldCharType="begin"/>
                    </w:r>
                    <w:r>
                      <w:rPr>
                        <w:rStyle w:val="13"/>
                        <w:rFonts w:ascii="宋体" w:hAnsi="宋体" w:eastAsia="宋体"/>
                        <w:sz w:val="28"/>
                      </w:rPr>
                      <w:instrText xml:space="preserve">PAGE  </w:instrText>
                    </w:r>
                    <w:r>
                      <w:rPr>
                        <w:rFonts w:ascii="宋体" w:hAnsi="宋体" w:eastAsia="宋体"/>
                        <w:sz w:val="28"/>
                      </w:rPr>
                      <w:fldChar w:fldCharType="separate"/>
                    </w:r>
                    <w:r>
                      <w:rPr>
                        <w:rStyle w:val="13"/>
                        <w:rFonts w:ascii="宋体" w:hAnsi="宋体" w:eastAsia="宋体"/>
                        <w:sz w:val="28"/>
                      </w:rPr>
                      <w:t>34</w:t>
                    </w:r>
                    <w:r>
                      <w:rPr>
                        <w:rFonts w:ascii="宋体" w:hAnsi="宋体" w:eastAsia="宋体"/>
                        <w:sz w:val="28"/>
                      </w:rPr>
                      <w:fldChar w:fldCharType="end"/>
                    </w:r>
                    <w:r>
                      <w:rPr>
                        <w:rStyle w:val="13"/>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4"/>
        <w:szCs w:val="24"/>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41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U2ZmZlY2MyODdmYmM5OWI3ZTNlZGEyMTY2M2MifQ=="/>
  </w:docVars>
  <w:rsids>
    <w:rsidRoot w:val="001B5C88"/>
    <w:rsid w:val="00011766"/>
    <w:rsid w:val="00014981"/>
    <w:rsid w:val="0007452B"/>
    <w:rsid w:val="000A6D37"/>
    <w:rsid w:val="001B5C88"/>
    <w:rsid w:val="001F143F"/>
    <w:rsid w:val="001F1E80"/>
    <w:rsid w:val="00215370"/>
    <w:rsid w:val="00291D70"/>
    <w:rsid w:val="002B4DD9"/>
    <w:rsid w:val="002D66F7"/>
    <w:rsid w:val="002F0A81"/>
    <w:rsid w:val="0031375D"/>
    <w:rsid w:val="0032526E"/>
    <w:rsid w:val="00337378"/>
    <w:rsid w:val="003A4D60"/>
    <w:rsid w:val="003E5F4E"/>
    <w:rsid w:val="003F5FD8"/>
    <w:rsid w:val="004001B2"/>
    <w:rsid w:val="00400968"/>
    <w:rsid w:val="00452E5F"/>
    <w:rsid w:val="004532B7"/>
    <w:rsid w:val="004566B7"/>
    <w:rsid w:val="004B12C9"/>
    <w:rsid w:val="004E6585"/>
    <w:rsid w:val="00524C46"/>
    <w:rsid w:val="0052619E"/>
    <w:rsid w:val="0054256B"/>
    <w:rsid w:val="00585D48"/>
    <w:rsid w:val="005D3B8E"/>
    <w:rsid w:val="00604796"/>
    <w:rsid w:val="00605171"/>
    <w:rsid w:val="006734F7"/>
    <w:rsid w:val="00685C4D"/>
    <w:rsid w:val="006E1B21"/>
    <w:rsid w:val="006F0984"/>
    <w:rsid w:val="00745EE5"/>
    <w:rsid w:val="00754A19"/>
    <w:rsid w:val="00775085"/>
    <w:rsid w:val="00793059"/>
    <w:rsid w:val="00794C3C"/>
    <w:rsid w:val="007A613A"/>
    <w:rsid w:val="007B292F"/>
    <w:rsid w:val="008A75BA"/>
    <w:rsid w:val="008B5CEF"/>
    <w:rsid w:val="008E2F4A"/>
    <w:rsid w:val="00917CAF"/>
    <w:rsid w:val="00921563"/>
    <w:rsid w:val="009372FD"/>
    <w:rsid w:val="009C42C3"/>
    <w:rsid w:val="009C7861"/>
    <w:rsid w:val="00A0493F"/>
    <w:rsid w:val="00A2707C"/>
    <w:rsid w:val="00A90B2A"/>
    <w:rsid w:val="00A97319"/>
    <w:rsid w:val="00AB1F15"/>
    <w:rsid w:val="00AC0913"/>
    <w:rsid w:val="00B8532B"/>
    <w:rsid w:val="00BA7EEA"/>
    <w:rsid w:val="00C44EA4"/>
    <w:rsid w:val="00CB077B"/>
    <w:rsid w:val="00CB763C"/>
    <w:rsid w:val="00CE75DB"/>
    <w:rsid w:val="00DF042B"/>
    <w:rsid w:val="00DF6C38"/>
    <w:rsid w:val="00E549F4"/>
    <w:rsid w:val="00EE645D"/>
    <w:rsid w:val="00F03B28"/>
    <w:rsid w:val="00F04233"/>
    <w:rsid w:val="00FD6C82"/>
    <w:rsid w:val="00FE12B8"/>
    <w:rsid w:val="03E21455"/>
    <w:rsid w:val="067A247D"/>
    <w:rsid w:val="08BA1FB1"/>
    <w:rsid w:val="11C17320"/>
    <w:rsid w:val="13972377"/>
    <w:rsid w:val="1539343E"/>
    <w:rsid w:val="1D4B1A85"/>
    <w:rsid w:val="27F61714"/>
    <w:rsid w:val="29C8320D"/>
    <w:rsid w:val="2B1A44FF"/>
    <w:rsid w:val="2C3676FE"/>
    <w:rsid w:val="2F7F9941"/>
    <w:rsid w:val="2FE94001"/>
    <w:rsid w:val="30945EEE"/>
    <w:rsid w:val="34526167"/>
    <w:rsid w:val="34571AF1"/>
    <w:rsid w:val="35C05E00"/>
    <w:rsid w:val="3ADD52D8"/>
    <w:rsid w:val="3B690C14"/>
    <w:rsid w:val="3BFA5D06"/>
    <w:rsid w:val="3CEED78A"/>
    <w:rsid w:val="3FFF80B4"/>
    <w:rsid w:val="41AB706A"/>
    <w:rsid w:val="46332660"/>
    <w:rsid w:val="4B9007D9"/>
    <w:rsid w:val="4DDD1DCD"/>
    <w:rsid w:val="50DF4879"/>
    <w:rsid w:val="51862E8F"/>
    <w:rsid w:val="52C92B47"/>
    <w:rsid w:val="536F03CB"/>
    <w:rsid w:val="5C023B0D"/>
    <w:rsid w:val="5C7F3C93"/>
    <w:rsid w:val="5FEF0597"/>
    <w:rsid w:val="62134FE7"/>
    <w:rsid w:val="68A611D8"/>
    <w:rsid w:val="6AF3572F"/>
    <w:rsid w:val="6B0E1837"/>
    <w:rsid w:val="6B16344A"/>
    <w:rsid w:val="6C2859CF"/>
    <w:rsid w:val="6DBFF069"/>
    <w:rsid w:val="6DEFC61B"/>
    <w:rsid w:val="6F2A1D3D"/>
    <w:rsid w:val="6F3D9F0B"/>
    <w:rsid w:val="71DD9342"/>
    <w:rsid w:val="75EE58D0"/>
    <w:rsid w:val="75FBC6CD"/>
    <w:rsid w:val="79FF0194"/>
    <w:rsid w:val="7BB875C0"/>
    <w:rsid w:val="7BDECBEE"/>
    <w:rsid w:val="7BFC37A1"/>
    <w:rsid w:val="7D151663"/>
    <w:rsid w:val="7E8DF4C4"/>
    <w:rsid w:val="7EBB7FE9"/>
    <w:rsid w:val="7F7EADB5"/>
    <w:rsid w:val="7FBFE06C"/>
    <w:rsid w:val="94BE4602"/>
    <w:rsid w:val="9FAD113E"/>
    <w:rsid w:val="AE537CD8"/>
    <w:rsid w:val="AECF9F11"/>
    <w:rsid w:val="BC3930EE"/>
    <w:rsid w:val="BDFB6740"/>
    <w:rsid w:val="D3F5DF7B"/>
    <w:rsid w:val="DD64F3BD"/>
    <w:rsid w:val="DDDFC793"/>
    <w:rsid w:val="E6C1F605"/>
    <w:rsid w:val="EF0F3BE4"/>
    <w:rsid w:val="FBEF7F59"/>
    <w:rsid w:val="FEBDE490"/>
    <w:rsid w:val="FF5F5336"/>
    <w:rsid w:val="FF774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8"/>
    </w:rPr>
  </w:style>
  <w:style w:type="paragraph" w:styleId="5">
    <w:name w:val="Balloon Text"/>
    <w:basedOn w:val="1"/>
    <w:link w:val="23"/>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Normal (Web)"/>
    <w:basedOn w:val="1"/>
    <w:next w:val="1"/>
    <w:qFormat/>
    <w:uiPriority w:val="0"/>
    <w:pPr>
      <w:spacing w:before="100" w:beforeAutospacing="1" w:after="100" w:afterAutospacing="1"/>
      <w:jc w:val="left"/>
    </w:pPr>
    <w:rPr>
      <w:rFonts w:ascii="Times New Roman" w:hAnsi="Times New Roman" w:eastAsia="宋体" w:cs="Times New Roman"/>
      <w:kern w:val="0"/>
      <w:sz w:val="24"/>
    </w:r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正文首行缩进 21"/>
    <w:basedOn w:val="16"/>
    <w:next w:val="10"/>
    <w:qFormat/>
    <w:uiPriority w:val="0"/>
    <w:pPr>
      <w:spacing w:before="100" w:beforeAutospacing="1" w:after="100" w:afterAutospacing="1"/>
      <w:ind w:firstLine="200" w:firstLineChars="200"/>
    </w:pPr>
    <w:rPr>
      <w:szCs w:val="21"/>
    </w:rPr>
  </w:style>
  <w:style w:type="paragraph" w:customStyle="1" w:styleId="16">
    <w:name w:val="正文文本缩进1"/>
    <w:basedOn w:val="1"/>
    <w:qFormat/>
    <w:uiPriority w:val="0"/>
    <w:pPr>
      <w:ind w:left="200" w:leftChars="200"/>
    </w:pPr>
    <w:rPr>
      <w:rFonts w:ascii="Calibri" w:hAnsi="Calibri" w:eastAsia="宋体"/>
    </w:rPr>
  </w:style>
  <w:style w:type="character" w:customStyle="1" w:styleId="17">
    <w:name w:val="页眉 Char"/>
    <w:basedOn w:val="12"/>
    <w:link w:val="7"/>
    <w:qFormat/>
    <w:uiPriority w:val="0"/>
    <w:rPr>
      <w:kern w:val="2"/>
      <w:sz w:val="18"/>
      <w:szCs w:val="18"/>
    </w:rPr>
  </w:style>
  <w:style w:type="character" w:customStyle="1" w:styleId="18">
    <w:name w:val="页脚 Char"/>
    <w:basedOn w:val="12"/>
    <w:link w:val="6"/>
    <w:qFormat/>
    <w:uiPriority w:val="0"/>
    <w:rPr>
      <w:kern w:val="2"/>
      <w:sz w:val="18"/>
      <w:szCs w:val="18"/>
    </w:rPr>
  </w:style>
  <w:style w:type="paragraph" w:styleId="19">
    <w:name w:val="List Paragraph"/>
    <w:basedOn w:val="1"/>
    <w:unhideWhenUsed/>
    <w:qFormat/>
    <w:uiPriority w:val="99"/>
    <w:pPr>
      <w:ind w:firstLine="420" w:firstLineChars="200"/>
    </w:p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2">
    <w:name w:val="font01"/>
    <w:basedOn w:val="12"/>
    <w:qFormat/>
    <w:uiPriority w:val="0"/>
    <w:rPr>
      <w:rFonts w:hint="eastAsia" w:ascii="宋体" w:hAnsi="宋体" w:eastAsia="宋体" w:cs="宋体"/>
      <w:color w:val="000000"/>
      <w:sz w:val="24"/>
      <w:szCs w:val="24"/>
      <w:u w:val="none"/>
    </w:rPr>
  </w:style>
  <w:style w:type="character" w:customStyle="1" w:styleId="23">
    <w:name w:val="批注框文本 Char"/>
    <w:basedOn w:val="12"/>
    <w:link w:val="5"/>
    <w:qFormat/>
    <w:uiPriority w:val="0"/>
    <w:rPr>
      <w:kern w:val="2"/>
      <w:sz w:val="18"/>
      <w:szCs w:val="18"/>
    </w:rPr>
  </w:style>
  <w:style w:type="paragraph" w:customStyle="1" w:styleId="24">
    <w:name w:val="Table Paragraph"/>
    <w:basedOn w:val="1"/>
    <w:qFormat/>
    <w:uiPriority w:val="1"/>
    <w:rPr>
      <w:rFonts w:ascii="Times New Roman" w:hAnsi="Times New Roman" w:eastAsia="宋体" w:cs="Times New Roman"/>
    </w:rPr>
  </w:style>
  <w:style w:type="paragraph" w:customStyle="1" w:styleId="25">
    <w:name w:val="Char Char1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20674</Words>
  <Characters>21574</Characters>
  <Lines>42</Lines>
  <Paragraphs>51</Paragraphs>
  <TotalTime>6</TotalTime>
  <ScaleCrop>false</ScaleCrop>
  <LinksUpToDate>false</LinksUpToDate>
  <CharactersWithSpaces>21931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2022-06-24T14:18:00Z</dcterms:created>
  <dc:creator>Administrator</dc:creator>
  <cp:lastModifiedBy>辉辉OPPOvivo体验店</cp:lastModifiedBy>
  <cp:lastPrinted>2022-07-22T01:50:00Z</cp:lastPrinted>
  <dcterms:modified xsi:type="dcterms:W3CDTF">2023-05-05T00:02:24Z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A6D22CBB965248488FA5A5FEFDDED927</vt:lpwstr>
  </property>
</Properties>
</file>