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autoSpaceDE/>
        <w:spacing w:line="600" w:lineRule="exact"/>
        <w:jc w:val="center"/>
        <w:rPr>
          <w:rFonts w:ascii="方正小标宋简体" w:hAnsi="方正小标宋简体" w:eastAsia="方正小标宋简体" w:cs="方正小标宋简体"/>
          <w:sz w:val="44"/>
          <w:szCs w:val="44"/>
        </w:rPr>
      </w:pPr>
      <w:bookmarkStart w:id="0" w:name="_GoBack"/>
      <w:bookmarkEnd w:id="0"/>
    </w:p>
    <w:p>
      <w:pPr>
        <w:widowControl w:val="0"/>
        <w:kinsoku/>
        <w:autoSpaceDE/>
        <w:spacing w:line="600" w:lineRule="exact"/>
        <w:jc w:val="center"/>
        <w:rPr>
          <w:rFonts w:ascii="Times New Roman" w:hAnsi="Times New Roman" w:eastAsia="方正公文小标宋" w:cs="Times New Roman"/>
          <w:sz w:val="44"/>
          <w:szCs w:val="44"/>
        </w:rPr>
      </w:pPr>
      <w:r>
        <w:rPr>
          <w:rFonts w:hint="eastAsia" w:ascii="方正小标宋简体" w:hAnsi="方正小标宋简体" w:eastAsia="方正小标宋简体" w:cs="方正小标宋简体"/>
          <w:sz w:val="44"/>
          <w:szCs w:val="44"/>
        </w:rPr>
        <w:t>沁源县</w:t>
      </w:r>
      <w:r>
        <w:rPr>
          <w:rFonts w:ascii="方正小标宋简体" w:hAnsi="方正小标宋简体" w:eastAsia="方正小标宋简体" w:cs="方正小标宋简体"/>
          <w:sz w:val="44"/>
          <w:szCs w:val="44"/>
        </w:rPr>
        <w:t>2023</w:t>
      </w:r>
      <w:r>
        <w:rPr>
          <w:rFonts w:hint="eastAsia" w:ascii="方正小标宋简体" w:hAnsi="方正小标宋简体" w:eastAsia="方正小标宋简体" w:cs="方正小标宋简体"/>
          <w:sz w:val="44"/>
          <w:szCs w:val="44"/>
        </w:rPr>
        <w:t>年乡村振兴示范创建行动方案</w:t>
      </w:r>
    </w:p>
    <w:p>
      <w:pPr>
        <w:widowControl w:val="0"/>
        <w:kinsoku/>
        <w:autoSpaceDE/>
        <w:spacing w:line="618" w:lineRule="exact"/>
        <w:jc w:val="both"/>
        <w:rPr>
          <w:rFonts w:ascii="Times New Roman" w:hAnsi="Times New Roman" w:cs="Times New Roman"/>
        </w:rPr>
      </w:pPr>
    </w:p>
    <w:p>
      <w:pPr>
        <w:widowControl w:val="0"/>
        <w:kinsoku/>
        <w:autoSpaceDE/>
        <w:spacing w:line="618"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为深入贯彻落实党的二十大精神和中央、省市农村工作会议精神，按照省、市、县有关乡村振兴示范创建工作部署，抓点带面高质量推动乡村建设和乡村治理，巩固拓展脱贫攻坚成果同乡村振兴有效衔接，结合我县实际，制定如下行动方案。</w:t>
      </w:r>
    </w:p>
    <w:p>
      <w:pPr>
        <w:widowControl w:val="0"/>
        <w:kinsoku/>
        <w:autoSpaceDE/>
        <w:spacing w:line="618" w:lineRule="exact"/>
        <w:ind w:firstLine="640" w:firstLineChars="200"/>
        <w:jc w:val="both"/>
        <w:rPr>
          <w:rFonts w:ascii="Times New Roman" w:hAnsi="Times New Roman" w:eastAsia="黑体" w:cs="Times New Roman"/>
          <w:sz w:val="32"/>
          <w:szCs w:val="32"/>
        </w:rPr>
      </w:pPr>
      <w:r>
        <w:rPr>
          <w:rFonts w:hint="eastAsia" w:ascii="Times New Roman" w:hAnsi="Times New Roman" w:eastAsia="黑体" w:cs="Times New Roman"/>
          <w:sz w:val="32"/>
          <w:szCs w:val="32"/>
        </w:rPr>
        <w:t>一、总体要求</w:t>
      </w:r>
    </w:p>
    <w:p>
      <w:pPr>
        <w:widowControl w:val="0"/>
        <w:kinsoku/>
        <w:autoSpaceDE/>
        <w:spacing w:line="618" w:lineRule="exact"/>
        <w:ind w:firstLine="643" w:firstLineChars="200"/>
        <w:jc w:val="both"/>
        <w:rPr>
          <w:rFonts w:ascii="Times New Roman" w:hAnsi="Times New Roman" w:eastAsia="仿宋" w:cs="Times New Roman"/>
          <w:sz w:val="32"/>
          <w:szCs w:val="32"/>
        </w:rPr>
      </w:pPr>
      <w:r>
        <w:rPr>
          <w:rFonts w:hint="eastAsia" w:ascii="楷体_GB2312" w:hAnsi="楷体_GB2312" w:eastAsia="楷体_GB2312" w:cs="楷体_GB2312"/>
          <w:b/>
          <w:bCs/>
          <w:sz w:val="32"/>
          <w:szCs w:val="32"/>
        </w:rPr>
        <w:t>（一）指导思想</w:t>
      </w:r>
    </w:p>
    <w:p>
      <w:pPr>
        <w:widowControl w:val="0"/>
        <w:kinsoku/>
        <w:autoSpaceDE/>
        <w:spacing w:line="618"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全面贯彻落实党的二十大精神和习近平总书记考察调研山西重要指示精神，坚持以人民为中心的发展思想，围绕“产业兴旺、生态宜居、乡风文明、治理有效、生活富裕”的总要求和“一城两中心，一区三园”县域布局，加强前瞻性思考、全局性谋划、战略性布局、整体性推进，把示范创建作为巩固脱贫成果上台阶、乡村振兴开新局的重要抓手，探索形成可复制、可推广的乡村振兴沁源路径，扎实有序做好乡村建设、乡村治理等重点工作。</w:t>
      </w:r>
    </w:p>
    <w:p>
      <w:pPr>
        <w:widowControl w:val="0"/>
        <w:kinsoku/>
        <w:autoSpaceDE/>
        <w:spacing w:line="618" w:lineRule="exact"/>
        <w:ind w:firstLine="643" w:firstLineChars="200"/>
        <w:jc w:val="both"/>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（二）创建数量</w:t>
      </w:r>
    </w:p>
    <w:p>
      <w:pPr>
        <w:widowControl w:val="0"/>
        <w:kinsoku/>
        <w:autoSpaceDE/>
        <w:spacing w:line="618"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采取竞标方式，以乡镇为单位申报推荐连片的行政村</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数量不限</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作为乡村振兴示范片区创建，全县累计不超过</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个村。</w:t>
      </w:r>
    </w:p>
    <w:p>
      <w:pPr>
        <w:widowControl w:val="0"/>
        <w:kinsoku/>
        <w:autoSpaceDE/>
        <w:spacing w:line="594" w:lineRule="exact"/>
        <w:ind w:firstLine="643" w:firstLineChars="200"/>
        <w:jc w:val="both"/>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（三）工作原则</w:t>
      </w:r>
    </w:p>
    <w:p>
      <w:pPr>
        <w:widowControl w:val="0"/>
        <w:kinsoku/>
        <w:autoSpaceDE/>
        <w:spacing w:line="594" w:lineRule="exact"/>
        <w:ind w:firstLine="643" w:firstLineChars="200"/>
        <w:jc w:val="both"/>
        <w:rPr>
          <w:rFonts w:ascii="仿宋_GB2312" w:hAnsi="仿宋_GB2312" w:eastAsia="仿宋_GB2312" w:cs="仿宋_GB2312"/>
          <w:sz w:val="32"/>
          <w:szCs w:val="32"/>
        </w:rPr>
      </w:pP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坚持规划先行，统筹推进。</w:t>
      </w:r>
      <w:r>
        <w:rPr>
          <w:rFonts w:hint="eastAsia" w:ascii="仿宋_GB2312" w:hAnsi="仿宋_GB2312" w:eastAsia="仿宋_GB2312" w:cs="仿宋_GB2312"/>
          <w:sz w:val="32"/>
          <w:szCs w:val="32"/>
        </w:rPr>
        <w:t>树立系统观念，先规划后建设，通盘考虑城镇村庄规模结构和功能布局，在优先完成“多规合一”实用性村庄规划编制基础上，统筹协调一体化推进。</w:t>
      </w:r>
    </w:p>
    <w:p>
      <w:pPr>
        <w:widowControl w:val="0"/>
        <w:kinsoku/>
        <w:autoSpaceDE/>
        <w:spacing w:line="594" w:lineRule="exact"/>
        <w:ind w:firstLine="643" w:firstLineChars="200"/>
        <w:jc w:val="both"/>
        <w:rPr>
          <w:rFonts w:ascii="仿宋_GB2312" w:hAnsi="仿宋_GB2312" w:eastAsia="仿宋_GB2312" w:cs="仿宋_GB2312"/>
          <w:sz w:val="32"/>
          <w:szCs w:val="32"/>
        </w:rPr>
      </w:pP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坚持因地制宜，注重特色。</w:t>
      </w:r>
      <w:r>
        <w:rPr>
          <w:rFonts w:hint="eastAsia" w:ascii="仿宋_GB2312" w:hAnsi="仿宋_GB2312" w:eastAsia="仿宋_GB2312" w:cs="仿宋_GB2312"/>
          <w:sz w:val="32"/>
          <w:szCs w:val="32"/>
        </w:rPr>
        <w:t>遵循乡村发展规律，体现乡村特点，注重乡土味道，保留乡村风貌，以农村厕所革命、生活污水垃圾治理、村容村貌提升为重点，积极打造不同类型的特色示范，带动引领创建工作。</w:t>
      </w:r>
    </w:p>
    <w:p>
      <w:pPr>
        <w:widowControl w:val="0"/>
        <w:kinsoku/>
        <w:autoSpaceDE/>
        <w:spacing w:line="594" w:lineRule="exact"/>
        <w:ind w:firstLine="643" w:firstLineChars="200"/>
        <w:jc w:val="both"/>
        <w:rPr>
          <w:rFonts w:ascii="仿宋_GB2312" w:hAnsi="仿宋_GB2312" w:eastAsia="仿宋_GB2312" w:cs="仿宋_GB2312"/>
          <w:sz w:val="32"/>
          <w:szCs w:val="32"/>
        </w:rPr>
      </w:pP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坚持农民主体，促进增收。</w:t>
      </w:r>
      <w:r>
        <w:rPr>
          <w:rFonts w:hint="eastAsia" w:ascii="仿宋_GB2312" w:hAnsi="仿宋_GB2312" w:eastAsia="仿宋_GB2312" w:cs="仿宋_GB2312"/>
          <w:sz w:val="32"/>
          <w:szCs w:val="32"/>
        </w:rPr>
        <w:t>树牢“乡村振兴为农民而兴、乡村建设为农民而建”的理念，充分调动农民群众的积极性、主动性、创造性，让乡村振兴示范创建与乡村文明建设相得益彰，通过实施示范创建项目，促进农民群众增收。</w:t>
      </w:r>
    </w:p>
    <w:p>
      <w:pPr>
        <w:widowControl w:val="0"/>
        <w:kinsoku/>
        <w:autoSpaceDE/>
        <w:spacing w:line="594" w:lineRule="exact"/>
        <w:ind w:firstLine="643" w:firstLineChars="200"/>
        <w:jc w:val="both"/>
        <w:rPr>
          <w:rFonts w:ascii="仿宋_GB2312" w:hAnsi="仿宋_GB2312" w:eastAsia="仿宋_GB2312" w:cs="仿宋_GB2312"/>
          <w:sz w:val="32"/>
          <w:szCs w:val="32"/>
        </w:rPr>
      </w:pP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坚持依法合规，打造精品。</w:t>
      </w:r>
      <w:r>
        <w:rPr>
          <w:rFonts w:hint="eastAsia" w:ascii="仿宋_GB2312" w:hAnsi="仿宋_GB2312" w:eastAsia="仿宋_GB2312" w:cs="仿宋_GB2312"/>
          <w:sz w:val="32"/>
          <w:szCs w:val="32"/>
        </w:rPr>
        <w:t>把依法合规贯穿于示范项目创建的全过程，严格执行相关法律法规，落实项目法人制、招标投标制、工程监理制、合同管理制等规定，依法取得土地使</w:t>
      </w:r>
      <w:r>
        <w:rPr>
          <w:rFonts w:hint="eastAsia" w:ascii="仿宋_GB2312" w:hAnsi="仿宋_GB2312" w:eastAsia="仿宋_GB2312" w:cs="仿宋_GB2312"/>
          <w:spacing w:val="-6"/>
          <w:sz w:val="32"/>
          <w:szCs w:val="32"/>
        </w:rPr>
        <w:t>用、规划、施工等许可文件，为示范创建提供坚强的法治保障。</w:t>
      </w:r>
    </w:p>
    <w:p>
      <w:pPr>
        <w:widowControl w:val="0"/>
        <w:kinsoku/>
        <w:autoSpaceDE/>
        <w:spacing w:line="594" w:lineRule="exact"/>
        <w:ind w:firstLine="643" w:firstLineChars="200"/>
        <w:jc w:val="both"/>
        <w:rPr>
          <w:rFonts w:ascii="仿宋_GB2312" w:hAnsi="仿宋_GB2312" w:eastAsia="仿宋_GB2312" w:cs="仿宋_GB2312"/>
          <w:sz w:val="32"/>
          <w:szCs w:val="32"/>
        </w:rPr>
      </w:pP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坚持稳中求进，突出实效。</w:t>
      </w:r>
      <w:r>
        <w:rPr>
          <w:rFonts w:hint="eastAsia" w:ascii="仿宋_GB2312" w:hAnsi="仿宋_GB2312" w:eastAsia="仿宋_GB2312" w:cs="仿宋_GB2312"/>
          <w:sz w:val="32"/>
          <w:szCs w:val="32"/>
        </w:rPr>
        <w:t>立足现有村庄基础，坚持敬畏历史、敬畏文化、敬畏生态，坚持数量服从质量、进度服从实效、求好不求快，既尽力而为，又量力而行，坚决杜绝大拆大建。</w:t>
      </w:r>
    </w:p>
    <w:p>
      <w:pPr>
        <w:widowControl w:val="0"/>
        <w:kinsoku/>
        <w:autoSpaceDE/>
        <w:spacing w:line="594" w:lineRule="exact"/>
        <w:ind w:firstLine="640" w:firstLineChars="200"/>
        <w:jc w:val="both"/>
        <w:rPr>
          <w:rFonts w:ascii="Times New Roman" w:hAnsi="Times New Roman" w:eastAsia="黑体" w:cs="Times New Roman"/>
          <w:sz w:val="32"/>
          <w:szCs w:val="32"/>
        </w:rPr>
      </w:pPr>
      <w:r>
        <w:rPr>
          <w:rFonts w:hint="eastAsia" w:ascii="Times New Roman" w:hAnsi="Times New Roman" w:eastAsia="黑体" w:cs="Times New Roman"/>
          <w:sz w:val="32"/>
          <w:szCs w:val="32"/>
        </w:rPr>
        <w:t>二、创建要求</w:t>
      </w:r>
    </w:p>
    <w:p>
      <w:pPr>
        <w:widowControl w:val="0"/>
        <w:kinsoku/>
        <w:autoSpaceDE/>
        <w:spacing w:line="594"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乡村振兴示范创建，围绕乡村产业振兴、人才振兴、文化振兴、生态振兴、组织振兴，统筹推进农村经济建设、政治建设、文化建设、社会建设、生态文明建设，抓重点、补短板、强弱项。</w:t>
      </w:r>
    </w:p>
    <w:p>
      <w:pPr>
        <w:widowControl w:val="0"/>
        <w:kinsoku/>
        <w:autoSpaceDE/>
        <w:spacing w:line="594" w:lineRule="exact"/>
        <w:ind w:firstLine="643" w:firstLineChars="200"/>
        <w:jc w:val="both"/>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（一）深化</w:t>
      </w:r>
      <w:r>
        <w:rPr>
          <w:rFonts w:ascii="楷体_GB2312" w:hAnsi="楷体_GB2312" w:eastAsia="楷体_GB2312" w:cs="楷体_GB2312"/>
          <w:b/>
          <w:bCs/>
          <w:sz w:val="32"/>
          <w:szCs w:val="32"/>
        </w:rPr>
        <w:t>2022</w:t>
      </w:r>
      <w:r>
        <w:rPr>
          <w:rFonts w:hint="eastAsia" w:ascii="楷体_GB2312" w:hAnsi="楷体_GB2312" w:eastAsia="楷体_GB2312" w:cs="楷体_GB2312"/>
          <w:b/>
          <w:bCs/>
          <w:sz w:val="32"/>
          <w:szCs w:val="32"/>
        </w:rPr>
        <w:t>年示范创建工作</w:t>
      </w:r>
    </w:p>
    <w:p>
      <w:pPr>
        <w:widowControl w:val="0"/>
        <w:kinsoku/>
        <w:autoSpaceDE/>
        <w:spacing w:line="594" w:lineRule="exact"/>
        <w:ind w:firstLine="640" w:firstLineChars="200"/>
        <w:jc w:val="both"/>
        <w:rPr>
          <w:rFonts w:ascii="Times New Roman" w:hAnsi="Times New Roman" w:eastAsia="仿宋" w:cs="Times New Roman"/>
          <w:sz w:val="32"/>
          <w:szCs w:val="32"/>
        </w:rPr>
      </w:pPr>
      <w:r>
        <w:rPr>
          <w:rFonts w:hint="eastAsia" w:ascii="仿宋_GB2312" w:hAnsi="仿宋_GB2312" w:eastAsia="仿宋_GB2312" w:cs="仿宋_GB2312"/>
          <w:sz w:val="32"/>
          <w:szCs w:val="32"/>
        </w:rPr>
        <w:t>在</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年县级示范创建项目的基础上进一步巩固发展，对已创建项目可以持续完善，也可实施新项目深化创建。</w:t>
      </w:r>
    </w:p>
    <w:p>
      <w:pPr>
        <w:widowControl w:val="0"/>
        <w:kinsoku/>
        <w:autoSpaceDE/>
        <w:spacing w:line="594" w:lineRule="exact"/>
        <w:ind w:firstLine="643" w:firstLineChars="200"/>
        <w:jc w:val="both"/>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（二）拓展</w:t>
      </w:r>
      <w:r>
        <w:rPr>
          <w:rFonts w:ascii="楷体_GB2312" w:hAnsi="楷体_GB2312" w:eastAsia="楷体_GB2312" w:cs="楷体_GB2312"/>
          <w:b/>
          <w:bCs/>
          <w:sz w:val="32"/>
          <w:szCs w:val="32"/>
        </w:rPr>
        <w:t>2023</w:t>
      </w:r>
      <w:r>
        <w:rPr>
          <w:rFonts w:hint="eastAsia" w:ascii="楷体_GB2312" w:hAnsi="楷体_GB2312" w:eastAsia="楷体_GB2312" w:cs="楷体_GB2312"/>
          <w:b/>
          <w:bCs/>
          <w:sz w:val="32"/>
          <w:szCs w:val="32"/>
        </w:rPr>
        <w:t>年示范创建工作</w:t>
      </w:r>
    </w:p>
    <w:p>
      <w:pPr>
        <w:widowControl w:val="0"/>
        <w:kinsoku/>
        <w:autoSpaceDE/>
        <w:spacing w:line="594" w:lineRule="exact"/>
        <w:ind w:firstLine="643" w:firstLineChars="200"/>
        <w:jc w:val="both"/>
        <w:rPr>
          <w:rFonts w:ascii="仿宋_GB2312" w:hAnsi="仿宋_GB2312" w:eastAsia="仿宋_GB2312" w:cs="仿宋_GB2312"/>
          <w:sz w:val="32"/>
          <w:szCs w:val="32"/>
        </w:rPr>
      </w:pP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乡村振兴示范片区。</w:t>
      </w:r>
      <w:r>
        <w:rPr>
          <w:rFonts w:hint="eastAsia" w:ascii="仿宋_GB2312" w:hAnsi="仿宋_GB2312" w:eastAsia="仿宋_GB2312" w:cs="仿宋_GB2312"/>
          <w:sz w:val="32"/>
          <w:szCs w:val="32"/>
        </w:rPr>
        <w:t>以推进乡村五大振兴为主要内容，突出在产业发展、带动务工就业、集体经济运行、新型经营主体培育、改厕及垃圾污水处理、改进乡村治理、探索农村养老等方面打造亮点示范引领。</w:t>
      </w:r>
    </w:p>
    <w:p>
      <w:pPr>
        <w:widowControl w:val="0"/>
        <w:kinsoku/>
        <w:autoSpaceDE/>
        <w:spacing w:line="594" w:lineRule="exact"/>
        <w:ind w:firstLine="643" w:firstLineChars="200"/>
        <w:jc w:val="both"/>
        <w:rPr>
          <w:rFonts w:ascii="仿宋_GB2312" w:hAnsi="仿宋_GB2312" w:eastAsia="仿宋_GB2312" w:cs="仿宋_GB2312"/>
          <w:sz w:val="32"/>
          <w:szCs w:val="32"/>
        </w:rPr>
      </w:pP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乡村振兴旅游示范片区。</w:t>
      </w:r>
      <w:r>
        <w:rPr>
          <w:rFonts w:hint="eastAsia" w:ascii="仿宋_GB2312" w:hAnsi="仿宋_GB2312" w:eastAsia="仿宋_GB2312" w:cs="仿宋_GB2312"/>
          <w:sz w:val="32"/>
          <w:szCs w:val="32"/>
        </w:rPr>
        <w:t>充分利用旅游资源优势，构建结构合理、特色鲜明、服务良好、发展规范的农林文旅康乡村旅游新格局，发挥与周边灵石、沁县、霍州、平遥等县区连接的区位优势，积极发展休闲农业农耕体验、特色餐饮、特色民宿、家庭工坊、研学旅游等服务项目，探索联合开发旅游片区，让游客“在晋中临汾享人文，在山水沁源享生态”。</w:t>
      </w:r>
    </w:p>
    <w:p>
      <w:pPr>
        <w:widowControl w:val="0"/>
        <w:kinsoku/>
        <w:autoSpaceDE/>
        <w:spacing w:line="594" w:lineRule="exact"/>
        <w:ind w:firstLine="643" w:firstLineChars="200"/>
        <w:jc w:val="both"/>
        <w:rPr>
          <w:rFonts w:ascii="仿宋_GB2312" w:hAnsi="仿宋_GB2312" w:eastAsia="仿宋_GB2312" w:cs="仿宋_GB2312"/>
          <w:sz w:val="32"/>
          <w:szCs w:val="32"/>
        </w:rPr>
      </w:pPr>
      <w:r>
        <w:rPr>
          <w:rFonts w:ascii="仿宋_GB2312" w:hAnsi="仿宋_GB2312" w:eastAsia="仿宋_GB2312" w:cs="仿宋_GB2312"/>
          <w:b/>
          <w:bCs/>
          <w:sz w:val="32"/>
          <w:szCs w:val="32"/>
        </w:rPr>
        <w:t>3.</w:t>
      </w:r>
      <w:r>
        <w:rPr>
          <w:rFonts w:hint="eastAsia" w:ascii="仿宋_GB2312" w:hAnsi="仿宋_GB2312" w:eastAsia="仿宋_GB2312" w:cs="仿宋_GB2312"/>
          <w:b/>
          <w:bCs/>
          <w:sz w:val="32"/>
          <w:szCs w:val="32"/>
        </w:rPr>
        <w:t>数字乡村建设示范片区。</w:t>
      </w:r>
      <w:r>
        <w:rPr>
          <w:rFonts w:hint="eastAsia" w:ascii="仿宋_GB2312" w:hAnsi="仿宋_GB2312" w:eastAsia="仿宋_GB2312" w:cs="仿宋_GB2312"/>
          <w:sz w:val="32"/>
          <w:szCs w:val="32"/>
        </w:rPr>
        <w:t>把数字乡村建设作为推进乡村振兴新动能，提高农业生产效率，激活农村要素资源，拓宽农民收入渠道，实现党建引领、乡村治理、公共服务、智慧农业、电子商务、务工就业、垃圾分类等数字化转型。</w:t>
      </w:r>
    </w:p>
    <w:p>
      <w:pPr>
        <w:widowControl w:val="0"/>
        <w:kinsoku/>
        <w:autoSpaceDE/>
        <w:spacing w:line="594" w:lineRule="exact"/>
        <w:ind w:firstLine="643" w:firstLineChars="200"/>
        <w:jc w:val="both"/>
        <w:rPr>
          <w:rFonts w:ascii="仿宋_GB2312" w:hAnsi="仿宋_GB2312" w:eastAsia="仿宋_GB2312" w:cs="仿宋_GB2312"/>
          <w:sz w:val="32"/>
          <w:szCs w:val="32"/>
        </w:rPr>
      </w:pPr>
      <w:r>
        <w:rPr>
          <w:rFonts w:ascii="仿宋_GB2312" w:hAnsi="仿宋_GB2312" w:eastAsia="仿宋_GB2312" w:cs="仿宋_GB2312"/>
          <w:b/>
          <w:bCs/>
          <w:sz w:val="32"/>
          <w:szCs w:val="32"/>
        </w:rPr>
        <w:t>4.</w:t>
      </w:r>
      <w:r>
        <w:rPr>
          <w:rFonts w:hint="eastAsia" w:ascii="仿宋_GB2312" w:hAnsi="仿宋_GB2312" w:eastAsia="仿宋_GB2312" w:cs="仿宋_GB2312"/>
          <w:b/>
          <w:bCs/>
          <w:sz w:val="32"/>
          <w:szCs w:val="32"/>
        </w:rPr>
        <w:t>产业发展示范片区。</w:t>
      </w:r>
      <w:r>
        <w:rPr>
          <w:rFonts w:hint="eastAsia" w:ascii="仿宋_GB2312" w:hAnsi="仿宋_GB2312" w:eastAsia="仿宋_GB2312" w:cs="仿宋_GB2312"/>
          <w:sz w:val="32"/>
          <w:szCs w:val="32"/>
        </w:rPr>
        <w:t>大力实施农业“特”“优”战略，</w:t>
      </w:r>
    </w:p>
    <w:p>
      <w:pPr>
        <w:widowControl w:val="0"/>
        <w:kinsoku/>
        <w:autoSpaceDE/>
        <w:spacing w:line="614" w:lineRule="exact"/>
        <w:jc w:val="both"/>
        <w:rPr>
          <w:rFonts w:ascii="Times New Roman" w:hAnsi="Times New Roman" w:eastAsia="仿宋" w:cs="Times New Roman"/>
          <w:sz w:val="32"/>
          <w:szCs w:val="32"/>
        </w:rPr>
      </w:pPr>
      <w:r>
        <w:rPr>
          <w:rFonts w:hint="eastAsia" w:ascii="仿宋_GB2312" w:hAnsi="仿宋_GB2312" w:eastAsia="仿宋_GB2312" w:cs="仿宋_GB2312"/>
          <w:sz w:val="32"/>
          <w:szCs w:val="32"/>
        </w:rPr>
        <w:t>创建经营发展良好、示范作用明显、辐射带动力强的特色产业示范区，深入推进农村一二三产业融合，大力发展高效设施农业，让农民更多分享产业增值收益。</w:t>
      </w:r>
    </w:p>
    <w:p>
      <w:pPr>
        <w:widowControl w:val="0"/>
        <w:kinsoku/>
        <w:autoSpaceDE/>
        <w:spacing w:line="614" w:lineRule="exact"/>
        <w:ind w:firstLine="640" w:firstLineChars="200"/>
        <w:jc w:val="both"/>
        <w:rPr>
          <w:rFonts w:ascii="Times New Roman" w:hAnsi="Times New Roman" w:eastAsia="黑体" w:cs="Times New Roman"/>
          <w:sz w:val="32"/>
          <w:szCs w:val="32"/>
        </w:rPr>
      </w:pPr>
      <w:r>
        <w:rPr>
          <w:rFonts w:hint="eastAsia" w:ascii="Times New Roman" w:hAnsi="Times New Roman" w:eastAsia="黑体" w:cs="Times New Roman"/>
          <w:sz w:val="32"/>
          <w:szCs w:val="32"/>
        </w:rPr>
        <w:t>三、实施步骤</w:t>
      </w:r>
    </w:p>
    <w:p>
      <w:pPr>
        <w:widowControl w:val="0"/>
        <w:kinsoku/>
        <w:autoSpaceDE/>
        <w:spacing w:line="614" w:lineRule="exact"/>
        <w:ind w:firstLine="643" w:firstLineChars="200"/>
        <w:jc w:val="both"/>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（一）筛选创建对象（</w:t>
      </w:r>
      <w:r>
        <w:rPr>
          <w:rFonts w:ascii="楷体_GB2312" w:hAnsi="楷体_GB2312" w:eastAsia="楷体_GB2312" w:cs="楷体_GB2312"/>
          <w:b/>
          <w:bCs/>
          <w:sz w:val="32"/>
          <w:szCs w:val="32"/>
        </w:rPr>
        <w:t>2023</w:t>
      </w:r>
      <w:r>
        <w:rPr>
          <w:rFonts w:hint="eastAsia" w:ascii="楷体_GB2312" w:hAnsi="楷体_GB2312" w:eastAsia="楷体_GB2312" w:cs="楷体_GB2312"/>
          <w:b/>
          <w:bCs/>
          <w:sz w:val="32"/>
          <w:szCs w:val="32"/>
        </w:rPr>
        <w:t>年</w:t>
      </w:r>
      <w:r>
        <w:rPr>
          <w:rFonts w:ascii="楷体_GB2312" w:hAnsi="楷体_GB2312" w:eastAsia="楷体_GB2312" w:cs="楷体_GB2312"/>
          <w:b/>
          <w:bCs/>
          <w:sz w:val="32"/>
          <w:szCs w:val="32"/>
        </w:rPr>
        <w:t>3</w:t>
      </w:r>
      <w:r>
        <w:rPr>
          <w:rFonts w:hint="eastAsia" w:ascii="楷体_GB2312" w:hAnsi="楷体_GB2312" w:eastAsia="楷体_GB2312" w:cs="楷体_GB2312"/>
          <w:b/>
          <w:bCs/>
          <w:sz w:val="32"/>
          <w:szCs w:val="32"/>
        </w:rPr>
        <w:t>月）</w:t>
      </w:r>
    </w:p>
    <w:p>
      <w:pPr>
        <w:widowControl w:val="0"/>
        <w:kinsoku/>
        <w:autoSpaceDE/>
        <w:spacing w:line="614"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示范创建村原则上选择户籍人口</w:t>
      </w:r>
      <w:r>
        <w:rPr>
          <w:rFonts w:ascii="仿宋_GB2312" w:hAnsi="仿宋_GB2312" w:eastAsia="仿宋_GB2312" w:cs="仿宋_GB2312"/>
          <w:sz w:val="32"/>
          <w:szCs w:val="32"/>
        </w:rPr>
        <w:t>500</w:t>
      </w:r>
      <w:r>
        <w:rPr>
          <w:rFonts w:hint="eastAsia" w:ascii="仿宋_GB2312" w:hAnsi="仿宋_GB2312" w:eastAsia="仿宋_GB2312" w:cs="仿宋_GB2312"/>
          <w:sz w:val="32"/>
          <w:szCs w:val="32"/>
        </w:rPr>
        <w:t>人以上或者常住人口</w:t>
      </w:r>
      <w:r>
        <w:rPr>
          <w:rFonts w:ascii="仿宋_GB2312" w:hAnsi="仿宋_GB2312" w:eastAsia="仿宋_GB2312" w:cs="仿宋_GB2312"/>
          <w:sz w:val="32"/>
          <w:szCs w:val="32"/>
        </w:rPr>
        <w:t>300</w:t>
      </w:r>
      <w:r>
        <w:rPr>
          <w:rFonts w:hint="eastAsia" w:ascii="仿宋_GB2312" w:hAnsi="仿宋_GB2312" w:eastAsia="仿宋_GB2312" w:cs="仿宋_GB2312"/>
          <w:sz w:val="32"/>
          <w:szCs w:val="32"/>
        </w:rPr>
        <w:t>人以上的行政村，要求村两委创建积极性高、配套资金能够保障落实，村两委坚强有力且有</w:t>
      </w:r>
      <w:r>
        <w:rPr>
          <w:rFonts w:hint="eastAsia" w:ascii="仿宋_GB2312" w:hAnsi="仿宋_GB2312" w:eastAsia="仿宋_GB2312" w:cs="仿宋_GB2312"/>
          <w:color w:val="auto"/>
          <w:sz w:val="32"/>
          <w:szCs w:val="32"/>
        </w:rPr>
        <w:t>发展前景</w:t>
      </w:r>
      <w:r>
        <w:rPr>
          <w:rFonts w:hint="eastAsia" w:ascii="仿宋_GB2312" w:hAnsi="仿宋_GB2312" w:eastAsia="仿宋_GB2312" w:cs="仿宋_GB2312"/>
          <w:sz w:val="32"/>
          <w:szCs w:val="32"/>
        </w:rPr>
        <w:t>。创建采取自下而上逐级申报，县巩固衔接领导小组将组织相关部门开展竞争性遴选，初步确定示范创建入围对象。</w:t>
      </w:r>
    </w:p>
    <w:p>
      <w:pPr>
        <w:widowControl w:val="0"/>
        <w:kinsoku/>
        <w:autoSpaceDE/>
        <w:spacing w:line="614" w:lineRule="exact"/>
        <w:ind w:firstLine="643" w:firstLineChars="200"/>
        <w:jc w:val="both"/>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（二）完成规划设计（</w:t>
      </w:r>
      <w:r>
        <w:rPr>
          <w:rFonts w:ascii="楷体_GB2312" w:hAnsi="楷体_GB2312" w:eastAsia="楷体_GB2312" w:cs="楷体_GB2312"/>
          <w:b/>
          <w:bCs/>
          <w:sz w:val="32"/>
          <w:szCs w:val="32"/>
        </w:rPr>
        <w:t>2023</w:t>
      </w:r>
      <w:r>
        <w:rPr>
          <w:rFonts w:hint="eastAsia" w:ascii="楷体_GB2312" w:hAnsi="楷体_GB2312" w:eastAsia="楷体_GB2312" w:cs="楷体_GB2312"/>
          <w:b/>
          <w:bCs/>
          <w:sz w:val="32"/>
          <w:szCs w:val="32"/>
        </w:rPr>
        <w:t>年</w:t>
      </w:r>
      <w:r>
        <w:rPr>
          <w:rFonts w:ascii="楷体_GB2312" w:hAnsi="楷体_GB2312" w:eastAsia="楷体_GB2312" w:cs="楷体_GB2312"/>
          <w:b/>
          <w:bCs/>
          <w:sz w:val="32"/>
          <w:szCs w:val="32"/>
        </w:rPr>
        <w:t>4</w:t>
      </w:r>
      <w:r>
        <w:rPr>
          <w:rFonts w:hint="eastAsia" w:ascii="楷体_GB2312" w:hAnsi="楷体_GB2312" w:eastAsia="楷体_GB2312" w:cs="楷体_GB2312"/>
          <w:b/>
          <w:bCs/>
          <w:sz w:val="32"/>
          <w:szCs w:val="32"/>
        </w:rPr>
        <w:t>月）</w:t>
      </w:r>
    </w:p>
    <w:p>
      <w:pPr>
        <w:widowControl w:val="0"/>
        <w:kinsoku/>
        <w:autoSpaceDE/>
        <w:spacing w:line="614"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乡镇是示范创建的实施主体，统筹组织示范创建规划设计，明确创建的项目内容、建设地址、建设工期、投资规模、资金来源、落实情况及管护方式等。</w:t>
      </w: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日前，示范创建入围对象相关材料，以乡镇为单位报县乡村振兴局。</w:t>
      </w:r>
    </w:p>
    <w:p>
      <w:pPr>
        <w:widowControl w:val="0"/>
        <w:kinsoku/>
        <w:autoSpaceDE/>
        <w:spacing w:line="614" w:lineRule="exact"/>
        <w:ind w:firstLine="643" w:firstLineChars="200"/>
        <w:jc w:val="both"/>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（三）办理前期手续（</w:t>
      </w:r>
      <w:r>
        <w:rPr>
          <w:rFonts w:ascii="楷体_GB2312" w:hAnsi="楷体_GB2312" w:eastAsia="楷体_GB2312" w:cs="楷体_GB2312"/>
          <w:b/>
          <w:bCs/>
          <w:sz w:val="32"/>
          <w:szCs w:val="32"/>
        </w:rPr>
        <w:t>2023</w:t>
      </w:r>
      <w:r>
        <w:rPr>
          <w:rFonts w:hint="eastAsia" w:ascii="楷体_GB2312" w:hAnsi="楷体_GB2312" w:eastAsia="楷体_GB2312" w:cs="楷体_GB2312"/>
          <w:b/>
          <w:bCs/>
          <w:sz w:val="32"/>
          <w:szCs w:val="32"/>
        </w:rPr>
        <w:t>年</w:t>
      </w:r>
      <w:r>
        <w:rPr>
          <w:rFonts w:ascii="楷体_GB2312" w:hAnsi="楷体_GB2312" w:eastAsia="楷体_GB2312" w:cs="楷体_GB2312"/>
          <w:b/>
          <w:bCs/>
          <w:sz w:val="32"/>
          <w:szCs w:val="32"/>
        </w:rPr>
        <w:t>4</w:t>
      </w:r>
      <w:r>
        <w:rPr>
          <w:rFonts w:hint="eastAsia" w:ascii="楷体_GB2312" w:hAnsi="楷体_GB2312" w:eastAsia="楷体_GB2312" w:cs="楷体_GB2312"/>
          <w:b/>
          <w:bCs/>
          <w:sz w:val="32"/>
          <w:szCs w:val="32"/>
        </w:rPr>
        <w:t>月底前）</w:t>
      </w:r>
    </w:p>
    <w:p>
      <w:pPr>
        <w:widowControl w:val="0"/>
        <w:kinsoku/>
        <w:autoSpaceDE/>
        <w:spacing w:line="614" w:lineRule="exact"/>
        <w:ind w:firstLine="640" w:firstLineChars="200"/>
        <w:jc w:val="both"/>
        <w:rPr>
          <w:rFonts w:ascii="Times New Roman" w:hAnsi="Times New Roman" w:eastAsia="仿宋" w:cs="Times New Roman"/>
          <w:sz w:val="32"/>
          <w:szCs w:val="32"/>
        </w:rPr>
      </w:pPr>
      <w:r>
        <w:rPr>
          <w:rFonts w:hint="eastAsia" w:ascii="仿宋_GB2312" w:hAnsi="仿宋_GB2312" w:eastAsia="仿宋_GB2312" w:cs="仿宋_GB2312"/>
          <w:sz w:val="32"/>
          <w:szCs w:val="32"/>
        </w:rPr>
        <w:t>以乡镇为单位，细化工作流程，抓紧落实示范创建项目部门论证、土地流转、环评审批、资金筹措、工程招标等前期工作。</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月底前办结前期相关手续，示范创建项目及资金需求全部纳入乡村振兴项目库，衔接资金支持的项目原则上从项目库中选择。</w:t>
      </w:r>
    </w:p>
    <w:p>
      <w:pPr>
        <w:widowControl w:val="0"/>
        <w:kinsoku/>
        <w:autoSpaceDE/>
        <w:spacing w:line="594" w:lineRule="exact"/>
        <w:ind w:firstLine="643" w:firstLineChars="200"/>
        <w:jc w:val="both"/>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（四）健全管护机制（</w:t>
      </w:r>
      <w:r>
        <w:rPr>
          <w:rFonts w:ascii="楷体_GB2312" w:hAnsi="楷体_GB2312" w:eastAsia="楷体_GB2312" w:cs="楷体_GB2312"/>
          <w:b/>
          <w:bCs/>
          <w:sz w:val="32"/>
          <w:szCs w:val="32"/>
        </w:rPr>
        <w:t>2023</w:t>
      </w:r>
      <w:r>
        <w:rPr>
          <w:rFonts w:hint="eastAsia" w:ascii="楷体_GB2312" w:hAnsi="楷体_GB2312" w:eastAsia="楷体_GB2312" w:cs="楷体_GB2312"/>
          <w:b/>
          <w:bCs/>
          <w:sz w:val="32"/>
          <w:szCs w:val="32"/>
        </w:rPr>
        <w:t>年</w:t>
      </w:r>
      <w:r>
        <w:rPr>
          <w:rFonts w:ascii="楷体_GB2312" w:hAnsi="楷体_GB2312" w:eastAsia="楷体_GB2312" w:cs="楷体_GB2312"/>
          <w:b/>
          <w:bCs/>
          <w:sz w:val="32"/>
          <w:szCs w:val="32"/>
        </w:rPr>
        <w:t>5</w:t>
      </w:r>
      <w:r>
        <w:rPr>
          <w:rFonts w:hint="eastAsia" w:ascii="楷体_GB2312" w:hAnsi="楷体_GB2312" w:eastAsia="楷体_GB2312" w:cs="楷体_GB2312"/>
          <w:b/>
          <w:bCs/>
          <w:sz w:val="32"/>
          <w:szCs w:val="32"/>
        </w:rPr>
        <w:t>月</w:t>
      </w:r>
      <w:r>
        <w:rPr>
          <w:rFonts w:ascii="楷体_GB2312" w:hAnsi="楷体_GB2312" w:eastAsia="楷体_GB2312" w:cs="楷体_GB2312"/>
          <w:b/>
          <w:bCs/>
          <w:sz w:val="32"/>
          <w:szCs w:val="32"/>
        </w:rPr>
        <w:t>-6</w:t>
      </w:r>
      <w:r>
        <w:rPr>
          <w:rFonts w:hint="eastAsia" w:ascii="楷体_GB2312" w:hAnsi="楷体_GB2312" w:eastAsia="楷体_GB2312" w:cs="楷体_GB2312"/>
          <w:b/>
          <w:bCs/>
          <w:sz w:val="32"/>
          <w:szCs w:val="32"/>
        </w:rPr>
        <w:t>月）</w:t>
      </w:r>
    </w:p>
    <w:p>
      <w:pPr>
        <w:widowControl w:val="0"/>
        <w:kinsoku/>
        <w:autoSpaceDE/>
        <w:spacing w:line="594" w:lineRule="exact"/>
        <w:ind w:firstLine="640" w:firstLineChars="200"/>
        <w:jc w:val="both"/>
        <w:rPr>
          <w:rFonts w:ascii="Times New Roman" w:hAnsi="Times New Roman" w:eastAsia="仿宋" w:cs="Times New Roman"/>
          <w:sz w:val="32"/>
          <w:szCs w:val="32"/>
        </w:rPr>
      </w:pPr>
      <w:r>
        <w:rPr>
          <w:rFonts w:hint="eastAsia" w:ascii="仿宋_GB2312" w:hAnsi="仿宋_GB2312" w:eastAsia="仿宋_GB2312" w:cs="仿宋_GB2312"/>
          <w:sz w:val="32"/>
          <w:szCs w:val="32"/>
        </w:rPr>
        <w:t>乡村振兴示范创建，要先建机制、再建工程。先行明确创建工程项目的产权归属、管护主体、责任单位和后续经费的保障落实，切实建立起有制度、有标准、有队伍、有经费、有督查的农村公共基础设施管护体系，确保项目长期发挥效益。</w:t>
      </w:r>
    </w:p>
    <w:p>
      <w:pPr>
        <w:widowControl w:val="0"/>
        <w:kinsoku/>
        <w:autoSpaceDE/>
        <w:spacing w:line="594" w:lineRule="exact"/>
        <w:ind w:firstLine="643" w:firstLineChars="200"/>
        <w:jc w:val="both"/>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（五）推进项目建设（</w:t>
      </w:r>
      <w:r>
        <w:rPr>
          <w:rFonts w:ascii="楷体_GB2312" w:hAnsi="楷体_GB2312" w:eastAsia="楷体_GB2312" w:cs="楷体_GB2312"/>
          <w:b/>
          <w:bCs/>
          <w:sz w:val="32"/>
          <w:szCs w:val="32"/>
        </w:rPr>
        <w:t>2023</w:t>
      </w:r>
      <w:r>
        <w:rPr>
          <w:rFonts w:hint="eastAsia" w:ascii="楷体_GB2312" w:hAnsi="楷体_GB2312" w:eastAsia="楷体_GB2312" w:cs="楷体_GB2312"/>
          <w:b/>
          <w:bCs/>
          <w:sz w:val="32"/>
          <w:szCs w:val="32"/>
        </w:rPr>
        <w:t>年</w:t>
      </w:r>
      <w:r>
        <w:rPr>
          <w:rFonts w:ascii="楷体_GB2312" w:hAnsi="楷体_GB2312" w:eastAsia="楷体_GB2312" w:cs="楷体_GB2312"/>
          <w:b/>
          <w:bCs/>
          <w:sz w:val="32"/>
          <w:szCs w:val="32"/>
        </w:rPr>
        <w:t>11</w:t>
      </w:r>
      <w:r>
        <w:rPr>
          <w:rFonts w:hint="eastAsia" w:ascii="楷体_GB2312" w:hAnsi="楷体_GB2312" w:eastAsia="楷体_GB2312" w:cs="楷体_GB2312"/>
          <w:b/>
          <w:bCs/>
          <w:sz w:val="32"/>
          <w:szCs w:val="32"/>
        </w:rPr>
        <w:t>月前）</w:t>
      </w:r>
    </w:p>
    <w:p>
      <w:pPr>
        <w:widowControl w:val="0"/>
        <w:kinsoku/>
        <w:autoSpaceDE/>
        <w:spacing w:line="594"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把示范创建作为全年重点工程，构建政府主导、市场主体、村集体和村民合力参与的推进机制，乡村两级主要领导要一线指挥，分管领导要定村包联，全程跟进示范创建情况，协调解决遇到的困难和问题。</w:t>
      </w: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月底完成总工程量的</w:t>
      </w:r>
      <w:r>
        <w:rPr>
          <w:rFonts w:ascii="仿宋_GB2312" w:hAnsi="仿宋_GB2312" w:eastAsia="仿宋_GB2312" w:cs="仿宋_GB2312"/>
          <w:sz w:val="32"/>
          <w:szCs w:val="32"/>
        </w:rPr>
        <w:t>80%</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月底完成</w:t>
      </w:r>
      <w:r>
        <w:rPr>
          <w:rFonts w:ascii="仿宋_GB2312" w:hAnsi="仿宋_GB2312" w:eastAsia="仿宋_GB2312" w:cs="仿宋_GB2312"/>
          <w:sz w:val="32"/>
          <w:szCs w:val="32"/>
        </w:rPr>
        <w:t>90%</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月底力争全面完工。</w:t>
      </w:r>
    </w:p>
    <w:p>
      <w:pPr>
        <w:widowControl w:val="0"/>
        <w:kinsoku/>
        <w:autoSpaceDE/>
        <w:spacing w:line="594" w:lineRule="exact"/>
        <w:ind w:firstLine="643" w:firstLineChars="200"/>
        <w:jc w:val="both"/>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（六）评估验收认定（</w:t>
      </w:r>
      <w:r>
        <w:rPr>
          <w:rFonts w:ascii="楷体_GB2312" w:hAnsi="楷体_GB2312" w:eastAsia="楷体_GB2312" w:cs="楷体_GB2312"/>
          <w:b/>
          <w:bCs/>
          <w:sz w:val="32"/>
          <w:szCs w:val="32"/>
        </w:rPr>
        <w:t>2023</w:t>
      </w:r>
      <w:r>
        <w:rPr>
          <w:rFonts w:hint="eastAsia" w:ascii="楷体_GB2312" w:hAnsi="楷体_GB2312" w:eastAsia="楷体_GB2312" w:cs="楷体_GB2312"/>
          <w:b/>
          <w:bCs/>
          <w:sz w:val="32"/>
          <w:szCs w:val="32"/>
        </w:rPr>
        <w:t>年底）</w:t>
      </w:r>
    </w:p>
    <w:p>
      <w:pPr>
        <w:widowControl w:val="0"/>
        <w:kinsoku/>
        <w:autoSpaceDE/>
        <w:spacing w:line="594" w:lineRule="exact"/>
        <w:ind w:firstLine="640" w:firstLineChars="200"/>
        <w:jc w:val="both"/>
        <w:rPr>
          <w:rFonts w:ascii="Times New Roman" w:hAnsi="Times New Roman" w:eastAsia="仿宋" w:cs="Times New Roman"/>
          <w:sz w:val="32"/>
          <w:szCs w:val="32"/>
        </w:rPr>
      </w:pPr>
      <w:r>
        <w:rPr>
          <w:rFonts w:hint="eastAsia" w:ascii="仿宋_GB2312" w:hAnsi="仿宋_GB2312" w:eastAsia="仿宋_GB2312" w:cs="仿宋_GB2312"/>
          <w:sz w:val="32"/>
          <w:szCs w:val="32"/>
        </w:rPr>
        <w:t>组织相关部门及第三方机构，对乡村振兴示范创建组织开展评估验收。</w:t>
      </w:r>
    </w:p>
    <w:p>
      <w:pPr>
        <w:widowControl w:val="0"/>
        <w:kinsoku/>
        <w:autoSpaceDE/>
        <w:spacing w:line="594" w:lineRule="exact"/>
        <w:ind w:firstLine="640" w:firstLineChars="200"/>
        <w:jc w:val="both"/>
        <w:rPr>
          <w:rFonts w:ascii="Times New Roman" w:hAnsi="Times New Roman" w:eastAsia="黑体" w:cs="Times New Roman"/>
          <w:sz w:val="32"/>
          <w:szCs w:val="32"/>
        </w:rPr>
      </w:pPr>
      <w:r>
        <w:rPr>
          <w:rFonts w:hint="eastAsia" w:ascii="Times New Roman" w:hAnsi="Times New Roman" w:eastAsia="黑体" w:cs="Times New Roman"/>
          <w:sz w:val="32"/>
          <w:szCs w:val="32"/>
        </w:rPr>
        <w:t>四、推进工作机制</w:t>
      </w:r>
    </w:p>
    <w:p>
      <w:pPr>
        <w:widowControl w:val="0"/>
        <w:kinsoku/>
        <w:autoSpaceDE/>
        <w:spacing w:line="594" w:lineRule="exact"/>
        <w:ind w:firstLine="643" w:firstLineChars="200"/>
        <w:jc w:val="both"/>
        <w:rPr>
          <w:rFonts w:ascii="仿宋_GB2312" w:hAnsi="仿宋_GB2312" w:eastAsia="仿宋_GB2312" w:cs="仿宋_GB2312"/>
          <w:sz w:val="32"/>
          <w:szCs w:val="32"/>
        </w:rPr>
      </w:pPr>
      <w:r>
        <w:rPr>
          <w:rFonts w:hint="eastAsia" w:ascii="楷体_GB2312" w:hAnsi="楷体_GB2312" w:eastAsia="楷体_GB2312" w:cs="楷体_GB2312"/>
          <w:b/>
          <w:bCs/>
          <w:sz w:val="32"/>
          <w:szCs w:val="32"/>
        </w:rPr>
        <w:t>（一）工作专班机制。</w:t>
      </w:r>
      <w:r>
        <w:rPr>
          <w:rFonts w:hint="eastAsia" w:ascii="仿宋_GB2312" w:hAnsi="仿宋_GB2312" w:eastAsia="仿宋_GB2312" w:cs="仿宋_GB2312"/>
          <w:sz w:val="32"/>
          <w:szCs w:val="32"/>
        </w:rPr>
        <w:t>县乡村振兴局要抽调专人，组建工作专班，把示范创建作为主线贯穿全年，抓住重点、抓住关键、抓住载体，制定推进实施方案，全力以赴抓好示范创建。</w:t>
      </w:r>
    </w:p>
    <w:p>
      <w:pPr>
        <w:widowControl w:val="0"/>
        <w:kinsoku/>
        <w:autoSpaceDE/>
        <w:spacing w:line="594" w:lineRule="exact"/>
        <w:ind w:firstLine="643" w:firstLineChars="200"/>
        <w:jc w:val="both"/>
        <w:rPr>
          <w:rFonts w:ascii="仿宋_GB2312" w:hAnsi="仿宋_GB2312" w:eastAsia="仿宋_GB2312" w:cs="仿宋_GB2312"/>
          <w:sz w:val="32"/>
          <w:szCs w:val="32"/>
        </w:rPr>
      </w:pPr>
      <w:r>
        <w:rPr>
          <w:rFonts w:hint="eastAsia" w:ascii="楷体_GB2312" w:hAnsi="楷体_GB2312" w:eastAsia="楷体_GB2312" w:cs="楷体_GB2312"/>
          <w:b/>
          <w:bCs/>
          <w:sz w:val="32"/>
          <w:szCs w:val="32"/>
        </w:rPr>
        <w:t>（二）项目清单机制。</w:t>
      </w:r>
      <w:r>
        <w:rPr>
          <w:rFonts w:hint="eastAsia" w:ascii="仿宋_GB2312" w:hAnsi="仿宋_GB2312" w:eastAsia="仿宋_GB2312" w:cs="仿宋_GB2312"/>
          <w:sz w:val="32"/>
          <w:szCs w:val="32"/>
        </w:rPr>
        <w:t>各乡镇按照工程化、项目化、责任化、季度化、清单化要求，建立示范创建项目建设清单，包括项目开工及预计完工时间、推进进度、资金投入、建设程度等，形成实物工作量。</w:t>
      </w:r>
    </w:p>
    <w:p>
      <w:pPr>
        <w:widowControl w:val="0"/>
        <w:kinsoku/>
        <w:autoSpaceDE/>
        <w:spacing w:line="594" w:lineRule="exact"/>
        <w:ind w:firstLine="643" w:firstLineChars="200"/>
        <w:jc w:val="both"/>
        <w:rPr>
          <w:rFonts w:ascii="Times New Roman" w:hAnsi="Times New Roman" w:eastAsia="仿宋" w:cs="Times New Roman"/>
          <w:sz w:val="32"/>
          <w:szCs w:val="32"/>
        </w:rPr>
      </w:pPr>
      <w:r>
        <w:rPr>
          <w:rFonts w:hint="eastAsia" w:ascii="楷体_GB2312" w:hAnsi="楷体_GB2312" w:eastAsia="楷体_GB2312" w:cs="楷体_GB2312"/>
          <w:b/>
          <w:bCs/>
          <w:sz w:val="32"/>
          <w:szCs w:val="32"/>
        </w:rPr>
        <w:t>（三）现场推动机制。</w:t>
      </w:r>
      <w:r>
        <w:rPr>
          <w:rFonts w:hint="eastAsia" w:ascii="仿宋_GB2312" w:hAnsi="仿宋_GB2312" w:eastAsia="仿宋_GB2312" w:cs="仿宋_GB2312"/>
          <w:sz w:val="32"/>
          <w:szCs w:val="32"/>
        </w:rPr>
        <w:t>县政府将适时组织农业农村局、林草局、水利局、文旅局、自然资源局、住建局等相关职能部门，召开现场协调会、观摩会、推进会等，研究解决实施过程中的难点堵点，总结交流典型做法和工作经验，形成比学赶帮超的浓厚创建氛围，确保示范创建当年实施、当年建成。</w:t>
      </w:r>
    </w:p>
    <w:p>
      <w:pPr>
        <w:widowControl w:val="0"/>
        <w:kinsoku/>
        <w:autoSpaceDE/>
        <w:spacing w:line="594" w:lineRule="exact"/>
        <w:ind w:firstLine="640" w:firstLineChars="200"/>
        <w:jc w:val="both"/>
        <w:rPr>
          <w:rFonts w:ascii="Times New Roman" w:hAnsi="Times New Roman" w:eastAsia="黑体" w:cs="Times New Roman"/>
          <w:sz w:val="32"/>
          <w:szCs w:val="32"/>
        </w:rPr>
      </w:pPr>
      <w:r>
        <w:rPr>
          <w:rFonts w:hint="eastAsia" w:ascii="Times New Roman" w:hAnsi="Times New Roman" w:eastAsia="黑体" w:cs="Times New Roman"/>
          <w:sz w:val="32"/>
          <w:szCs w:val="32"/>
        </w:rPr>
        <w:t>五、创建要求</w:t>
      </w:r>
    </w:p>
    <w:p>
      <w:pPr>
        <w:widowControl w:val="0"/>
        <w:kinsoku/>
        <w:autoSpaceDE/>
        <w:spacing w:line="594"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落实乡村振兴为农民而兴、乡村建设为农民而建的要求，坚持自下而上、村民自治、农民参与，启动乡村建设行动，因地制宜，突出产业示范、乡村旅游、数字乡村等特色亮点。各相关职能部门要根据示范创建类型，发挥部门协调、指导作用；各乡镇要主动对接，统筹使用好各类资金，协同发力，确保创建效果。</w:t>
      </w:r>
    </w:p>
    <w:p>
      <w:pPr>
        <w:widowControl w:val="0"/>
        <w:kinsoku/>
        <w:autoSpaceDE/>
        <w:spacing w:line="594"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坚持数量服从质量、进度服从实效，求好不求快，把握乡村建设的时、度、效。立足村庄现有基础开展乡村建设，不盲目拆旧村、建新村，不超越发展阶段搞大融资、大开发、大建设，避免无效投入造成浪费，防范村级债务风险。</w:t>
      </w:r>
    </w:p>
    <w:p>
      <w:pPr>
        <w:widowControl w:val="0"/>
        <w:kinsoku/>
        <w:autoSpaceDE/>
        <w:spacing w:line="594"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坚持以普惠性、基础性、兜底性民生建设为重点，在目标和标准上调门不要定的太高，水平、标准、档次要因地而宜、高低有别，重点是保证基本功能，解决突出问题；注重保护传统村落，保留村庄风貌、形态、肌理，留得住青山绿水，记得住乡愁。</w:t>
      </w:r>
    </w:p>
    <w:p>
      <w:pPr>
        <w:widowControl w:val="0"/>
        <w:kinsoku/>
        <w:autoSpaceDE/>
        <w:spacing w:line="600" w:lineRule="exact"/>
        <w:rPr>
          <w:rFonts w:ascii="Times New Roman" w:hAnsi="Times New Roman" w:cs="Times New Roman"/>
        </w:rPr>
      </w:pPr>
    </w:p>
    <w:p>
      <w:pPr>
        <w:widowControl w:val="0"/>
        <w:kinsoku/>
        <w:autoSpaceDE/>
        <w:spacing w:line="600" w:lineRule="exact"/>
        <w:rPr>
          <w:rFonts w:ascii="Times New Roman" w:hAnsi="Times New Roman" w:cs="Times New Roman"/>
        </w:rPr>
      </w:pPr>
    </w:p>
    <w:p>
      <w:pPr>
        <w:widowControl w:val="0"/>
        <w:kinsoku/>
        <w:autoSpaceDE/>
        <w:spacing w:line="600" w:lineRule="exact"/>
        <w:rPr>
          <w:rFonts w:ascii="Times New Roman" w:hAnsi="Times New Roman" w:cs="Times New Roman"/>
        </w:rPr>
      </w:pPr>
    </w:p>
    <w:p>
      <w:pPr>
        <w:widowControl w:val="0"/>
        <w:kinsoku/>
        <w:autoSpaceDE/>
        <w:spacing w:line="600" w:lineRule="exact"/>
        <w:rPr>
          <w:rFonts w:ascii="Times New Roman" w:hAnsi="Times New Roman" w:cs="Times New Roman"/>
        </w:rPr>
      </w:pPr>
    </w:p>
    <w:p>
      <w:pPr>
        <w:widowControl w:val="0"/>
        <w:kinsoku/>
        <w:autoSpaceDE/>
        <w:spacing w:line="600" w:lineRule="exact"/>
        <w:rPr>
          <w:rFonts w:ascii="Times New Roman" w:hAnsi="Times New Roman" w:cs="Times New Roman"/>
        </w:rPr>
      </w:pPr>
    </w:p>
    <w:p>
      <w:pPr>
        <w:widowControl w:val="0"/>
        <w:kinsoku/>
        <w:autoSpaceDE/>
        <w:spacing w:line="600" w:lineRule="exact"/>
        <w:rPr>
          <w:rFonts w:ascii="Times New Roman" w:hAnsi="Times New Roman" w:cs="Times New Roman"/>
        </w:rPr>
      </w:pPr>
    </w:p>
    <w:p>
      <w:pPr>
        <w:widowControl w:val="0"/>
        <w:kinsoku/>
        <w:autoSpaceDE/>
        <w:spacing w:line="600" w:lineRule="exact"/>
        <w:rPr>
          <w:rFonts w:ascii="Times New Roman" w:hAnsi="Times New Roman" w:cs="Times New Roman"/>
        </w:rPr>
      </w:pPr>
    </w:p>
    <w:p>
      <w:pPr>
        <w:widowControl w:val="0"/>
        <w:kinsoku/>
        <w:autoSpaceDE/>
        <w:spacing w:line="600" w:lineRule="exact"/>
        <w:rPr>
          <w:rFonts w:ascii="Times New Roman" w:hAnsi="Times New Roman" w:cs="Times New Roman"/>
        </w:rPr>
      </w:pPr>
    </w:p>
    <w:p>
      <w:pPr>
        <w:widowControl w:val="0"/>
        <w:kinsoku/>
        <w:autoSpaceDE/>
        <w:spacing w:line="600" w:lineRule="exact"/>
        <w:rPr>
          <w:rFonts w:ascii="Times New Roman" w:hAnsi="Times New Roman" w:cs="Times New Roman"/>
        </w:rPr>
      </w:pPr>
    </w:p>
    <w:p>
      <w:pPr>
        <w:widowControl w:val="0"/>
        <w:kinsoku/>
        <w:autoSpaceDE/>
        <w:spacing w:line="600" w:lineRule="exact"/>
        <w:rPr>
          <w:rFonts w:ascii="Times New Roman" w:hAnsi="Times New Roman" w:cs="Times New Roman"/>
        </w:rPr>
      </w:pPr>
    </w:p>
    <w:p>
      <w:pPr>
        <w:widowControl w:val="0"/>
        <w:kinsoku/>
        <w:autoSpaceDE/>
        <w:spacing w:line="600" w:lineRule="exact"/>
        <w:rPr>
          <w:rFonts w:ascii="Times New Roman" w:hAnsi="Times New Roman" w:cs="Times New Roman"/>
        </w:rPr>
      </w:pPr>
    </w:p>
    <w:p>
      <w:pPr>
        <w:widowControl w:val="0"/>
        <w:kinsoku/>
        <w:autoSpaceDE/>
        <w:spacing w:line="600" w:lineRule="exact"/>
        <w:rPr>
          <w:rFonts w:ascii="Times New Roman" w:hAnsi="Times New Roman" w:cs="Times New Roman"/>
        </w:rPr>
      </w:pPr>
    </w:p>
    <w:p>
      <w:pPr>
        <w:widowControl w:val="0"/>
        <w:kinsoku/>
        <w:autoSpaceDE/>
        <w:spacing w:line="600" w:lineRule="exact"/>
        <w:rPr>
          <w:rFonts w:ascii="Times New Roman" w:hAnsi="Times New Roman" w:cs="Times New Roman"/>
        </w:rPr>
      </w:pPr>
    </w:p>
    <w:p>
      <w:pPr>
        <w:widowControl w:val="0"/>
        <w:kinsoku/>
        <w:autoSpaceDE/>
        <w:spacing w:line="600" w:lineRule="exact"/>
        <w:rPr>
          <w:rFonts w:ascii="Times New Roman" w:hAnsi="Times New Roman" w:cs="Times New Roman"/>
        </w:rPr>
      </w:pPr>
    </w:p>
    <w:p>
      <w:pPr>
        <w:widowControl w:val="0"/>
        <w:kinsoku/>
        <w:autoSpaceDE/>
        <w:spacing w:line="600" w:lineRule="exact"/>
        <w:rPr>
          <w:rFonts w:ascii="Times New Roman" w:hAnsi="Times New Roman" w:cs="Times New Roman"/>
        </w:rPr>
      </w:pPr>
    </w:p>
    <w:p>
      <w:pPr>
        <w:widowControl w:val="0"/>
        <w:kinsoku/>
        <w:autoSpaceDE/>
        <w:spacing w:afterLines="50" w:line="700" w:lineRule="exact"/>
        <w:rPr>
          <w:rFonts w:ascii="Times New Roman" w:hAnsi="Times New Roman" w:cs="Times New Roman"/>
        </w:rPr>
      </w:pPr>
    </w:p>
    <w:p>
      <w:pPr>
        <w:widowControl w:val="0"/>
        <w:kinsoku/>
        <w:autoSpaceDE/>
        <w:spacing w:line="600" w:lineRule="exact"/>
        <w:rPr>
          <w:rFonts w:ascii="Times New Roman" w:hAnsi="Times New Roman" w:cs="Times New Roman"/>
        </w:rPr>
      </w:pPr>
    </w:p>
    <w:p>
      <w:pPr>
        <w:widowControl w:val="0"/>
        <w:kinsoku/>
        <w:autoSpaceDE/>
        <w:spacing w:line="600" w:lineRule="exact"/>
        <w:rPr>
          <w:rFonts w:ascii="Times New Roman" w:hAnsi="Times New Roman" w:cs="Times New Roman"/>
        </w:rPr>
      </w:pPr>
    </w:p>
    <w:p>
      <w:pPr>
        <w:widowControl w:val="0"/>
        <w:kinsoku/>
        <w:autoSpaceDE/>
        <w:spacing w:line="600" w:lineRule="exact"/>
        <w:rPr>
          <w:rFonts w:ascii="Times New Roman" w:hAnsi="Times New Roman" w:cs="Times New Roman"/>
        </w:rPr>
      </w:pPr>
    </w:p>
    <w:p>
      <w:pPr>
        <w:widowControl w:val="0"/>
        <w:kinsoku/>
        <w:autoSpaceDE/>
        <w:spacing w:line="600" w:lineRule="exact"/>
        <w:rPr>
          <w:rFonts w:ascii="Times New Roman" w:hAnsi="Times New Roman" w:cs="Times New Roman"/>
        </w:rPr>
      </w:pPr>
    </w:p>
    <w:p>
      <w:pPr>
        <w:pStyle w:val="6"/>
        <w:spacing w:line="240" w:lineRule="exact"/>
        <w:ind w:left="5250"/>
        <w:rPr>
          <w:color w:val="000000"/>
        </w:rPr>
      </w:pPr>
    </w:p>
    <w:p>
      <w:pPr>
        <w:pStyle w:val="2"/>
        <w:spacing w:after="160"/>
        <w:ind w:firstLine="600"/>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828" w:type="dxa"/>
            <w:tcBorders>
              <w:left w:val="nil"/>
              <w:right w:val="nil"/>
            </w:tcBorders>
            <w:vAlign w:val="center"/>
          </w:tcPr>
          <w:p>
            <w:pPr>
              <w:topLinePunct/>
              <w:ind w:left="-3" w:leftChars="-8" w:hanging="14" w:hangingChars="5"/>
              <w:jc w:val="center"/>
              <w:rPr>
                <w:rFonts w:ascii="仿宋_GB2312" w:eastAsia="仿宋_GB2312"/>
              </w:rPr>
            </w:pPr>
            <w:r>
              <w:rPr>
                <w:rFonts w:hint="eastAsia" w:ascii="仿宋_GB2312" w:hAnsi="仿宋" w:eastAsia="仿宋_GB2312"/>
                <w:sz w:val="28"/>
                <w:szCs w:val="28"/>
              </w:rPr>
              <w:t>沁源县人民政府办公室</w:t>
            </w:r>
            <w:r>
              <w:rPr>
                <w:rFonts w:ascii="仿宋_GB2312" w:hAnsi="仿宋" w:eastAsia="仿宋_GB2312"/>
                <w:sz w:val="28"/>
                <w:szCs w:val="28"/>
              </w:rPr>
              <w:t xml:space="preserve">                      </w:t>
            </w:r>
            <w:r>
              <w:rPr>
                <w:rFonts w:ascii="仿宋_GB2312" w:hAnsi="仿宋" w:eastAsia="仿宋_GB2312"/>
                <w:spacing w:val="20"/>
                <w:sz w:val="28"/>
                <w:szCs w:val="28"/>
              </w:rPr>
              <w:t>2023</w:t>
            </w:r>
            <w:r>
              <w:rPr>
                <w:rFonts w:hint="eastAsia" w:ascii="仿宋_GB2312" w:hAnsi="仿宋" w:eastAsia="仿宋_GB2312"/>
                <w:spacing w:val="20"/>
                <w:sz w:val="28"/>
                <w:szCs w:val="28"/>
              </w:rPr>
              <w:t>年</w:t>
            </w:r>
            <w:r>
              <w:rPr>
                <w:rFonts w:ascii="仿宋_GB2312" w:hAnsi="仿宋" w:eastAsia="仿宋_GB2312"/>
                <w:spacing w:val="20"/>
                <w:sz w:val="28"/>
                <w:szCs w:val="28"/>
              </w:rPr>
              <w:t>4</w:t>
            </w:r>
            <w:r>
              <w:rPr>
                <w:rFonts w:hint="eastAsia" w:ascii="仿宋_GB2312" w:hAnsi="仿宋" w:eastAsia="仿宋_GB2312"/>
                <w:spacing w:val="20"/>
                <w:sz w:val="28"/>
                <w:szCs w:val="28"/>
              </w:rPr>
              <w:t>月</w:t>
            </w:r>
            <w:r>
              <w:rPr>
                <w:rFonts w:ascii="仿宋_GB2312" w:hAnsi="仿宋" w:eastAsia="仿宋_GB2312"/>
                <w:spacing w:val="20"/>
                <w:sz w:val="28"/>
                <w:szCs w:val="28"/>
              </w:rPr>
              <w:t>4</w:t>
            </w:r>
            <w:r>
              <w:rPr>
                <w:rFonts w:hint="eastAsia" w:ascii="仿宋_GB2312" w:hAnsi="仿宋" w:eastAsia="仿宋_GB2312"/>
                <w:spacing w:val="20"/>
                <w:sz w:val="28"/>
                <w:szCs w:val="28"/>
              </w:rPr>
              <w:t>日印发</w:t>
            </w:r>
          </w:p>
        </w:tc>
      </w:tr>
    </w:tbl>
    <w:p>
      <w:pPr>
        <w:spacing w:line="20" w:lineRule="exact"/>
        <w:ind w:firstLine="420"/>
      </w:pPr>
    </w:p>
    <w:p>
      <w:pPr>
        <w:spacing w:line="20" w:lineRule="exact"/>
      </w:pPr>
      <w: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200025</wp:posOffset>
                </wp:positionV>
                <wp:extent cx="914400" cy="3429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ln>
                        <a:effectLst/>
                      </wps:spPr>
                      <wps:txbx>
                        <w:txbxContent>
                          <w:p/>
                        </w:txbxContent>
                      </wps:txbx>
                      <wps:bodyPr upright="1"/>
                    </wps:wsp>
                  </a:graphicData>
                </a:graphic>
              </wp:anchor>
            </w:drawing>
          </mc:Choice>
          <mc:Fallback>
            <w:pict>
              <v:shape id="文本框 2" o:spid="_x0000_s1026" o:spt="202" type="#_x0000_t202" style="position:absolute;left:0pt;margin-left:-9pt;margin-top:15.75pt;height:27pt;width:72pt;z-index:251659264;mso-width-relative:page;mso-height-relative:page;" fillcolor="#FFFFFF" filled="t" stroked="f" coordsize="21600,21600" o:gfxdata="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vF2u21wAAAAkBAAAPAAAAAAAAAAEAIAAAACIAAABkcnMvZG93bnJldi54&#10;bWxQSwECFAAUAAAACACHTuJANZ+QDsIBAACEAwAADgAAAAAAAAABACAAAAAmAQAAZHJzL2Uyb0Rv&#10;Yy54bWxQSwUGAAAAAAYABgBZAQAAWgUAAAAA&#10;">
                <v:fill on="t" focussize="0,0"/>
                <v:stroke on="f"/>
                <v:imagedata o:title=""/>
                <o:lock v:ext="edit" aspectratio="f"/>
                <v:textbox>
                  <w:txbxContent>
                    <w:p/>
                  </w:txbxContent>
                </v:textbox>
              </v:shape>
            </w:pict>
          </mc:Fallback>
        </mc:AlternateContent>
      </w:r>
    </w:p>
    <w:sectPr>
      <w:footerReference r:id="rId3" w:type="default"/>
      <w:footerReference r:id="rId4" w:type="even"/>
      <w:pgSz w:w="11905" w:h="16840"/>
      <w:pgMar w:top="1871" w:right="1531" w:bottom="1701" w:left="1531" w:header="851" w:footer="153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公文小标宋">
    <w:altName w:val="宋体"/>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0"/>
        <w:rFonts w:ascii="宋体" w:cs="Arial"/>
        <w:sz w:val="28"/>
        <w:szCs w:val="28"/>
      </w:rPr>
    </w:pPr>
    <w:r>
      <w:rPr>
        <w:rStyle w:val="10"/>
        <w:rFonts w:ascii="宋体" w:hAnsi="宋体" w:cs="Arial"/>
        <w:sz w:val="28"/>
        <w:szCs w:val="28"/>
      </w:rPr>
      <w:t xml:space="preserve">— </w:t>
    </w:r>
    <w:r>
      <w:rPr>
        <w:rStyle w:val="10"/>
        <w:rFonts w:ascii="宋体" w:hAnsi="宋体" w:cs="Arial"/>
        <w:sz w:val="28"/>
        <w:szCs w:val="28"/>
      </w:rPr>
      <w:fldChar w:fldCharType="begin"/>
    </w:r>
    <w:r>
      <w:rPr>
        <w:rStyle w:val="10"/>
        <w:rFonts w:ascii="宋体" w:hAnsi="宋体" w:cs="Arial"/>
        <w:sz w:val="28"/>
        <w:szCs w:val="28"/>
      </w:rPr>
      <w:instrText xml:space="preserve">PAGE  </w:instrText>
    </w:r>
    <w:r>
      <w:rPr>
        <w:rStyle w:val="10"/>
        <w:rFonts w:ascii="宋体" w:hAnsi="宋体" w:cs="Arial"/>
        <w:sz w:val="28"/>
        <w:szCs w:val="28"/>
      </w:rPr>
      <w:fldChar w:fldCharType="separate"/>
    </w:r>
    <w:r>
      <w:rPr>
        <w:rStyle w:val="10"/>
        <w:rFonts w:ascii="宋体" w:hAnsi="宋体" w:cs="Arial"/>
        <w:sz w:val="28"/>
        <w:szCs w:val="28"/>
      </w:rPr>
      <w:t>8</w:t>
    </w:r>
    <w:r>
      <w:rPr>
        <w:rStyle w:val="10"/>
        <w:rFonts w:ascii="宋体" w:hAnsi="宋体" w:cs="Arial"/>
        <w:sz w:val="28"/>
        <w:szCs w:val="28"/>
      </w:rPr>
      <w:fldChar w:fldCharType="end"/>
    </w:r>
    <w:r>
      <w:rPr>
        <w:rStyle w:val="10"/>
        <w:rFonts w:ascii="宋体" w:hAnsi="宋体" w:cs="Arial"/>
        <w:sz w:val="28"/>
        <w:szCs w:val="28"/>
      </w:rPr>
      <w:t xml:space="preserve"> —</w:t>
    </w:r>
  </w:p>
  <w:p>
    <w:pPr>
      <w:spacing w:line="14" w:lineRule="auto"/>
      <w:ind w:right="360" w:firstLine="360"/>
      <w:rPr>
        <w:sz w:val="2"/>
      </w:rPr>
    </w:pPr>
  </w:p>
  <w:p>
    <w:pPr>
      <w:spacing w:line="14" w:lineRule="auto"/>
      <w:ind w:right="360" w:firstLine="360"/>
      <w:rPr>
        <w:sz w:val="2"/>
      </w:rPr>
    </w:pPr>
  </w:p>
  <w:p>
    <w:pPr>
      <w:spacing w:line="14" w:lineRule="auto"/>
      <w:ind w:right="360" w:firstLine="360"/>
      <w:rPr>
        <w:sz w:val="2"/>
      </w:rPr>
    </w:pPr>
  </w:p>
  <w:p>
    <w:pPr>
      <w:spacing w:line="14" w:lineRule="auto"/>
      <w:ind w:right="360" w:firstLine="360"/>
      <w:rPr>
        <w:sz w:val="2"/>
      </w:rPr>
    </w:pPr>
  </w:p>
  <w:p>
    <w:pPr>
      <w:ind w:right="357" w:firstLine="357"/>
      <w:rPr>
        <w:sz w:val="2"/>
      </w:rPr>
    </w:pPr>
  </w:p>
  <w:p>
    <w:pPr>
      <w:ind w:right="357" w:firstLine="357"/>
      <w:rPr>
        <w:sz w:val="2"/>
      </w:rPr>
    </w:pPr>
  </w:p>
  <w:p>
    <w:pPr>
      <w:ind w:right="357" w:firstLine="357"/>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0"/>
        <w:rFonts w:cs="Arial"/>
      </w:rPr>
    </w:pPr>
    <w:r>
      <w:rPr>
        <w:rStyle w:val="10"/>
        <w:rFonts w:cs="Arial"/>
      </w:rPr>
      <w:fldChar w:fldCharType="begin"/>
    </w:r>
    <w:r>
      <w:rPr>
        <w:rStyle w:val="10"/>
        <w:rFonts w:cs="Arial"/>
      </w:rPr>
      <w:instrText xml:space="preserve">PAGE  </w:instrText>
    </w:r>
    <w:r>
      <w:rPr>
        <w:rStyle w:val="10"/>
        <w:rFonts w:cs="Arial"/>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characterSpacingControl w:val="doNotCompress"/>
  <w:noLineBreaksAfter w:lang="zh-CN" w:val="$([{£¥·‘“〈《「『【〔〖〝﹙﹛﹝＄（．［｛￡￥"/>
  <w:noLineBreaksBefore w:lang="zh-CN" w:val="!%),.:;&gt;?]}¢¨°·ˇˉ―‖’”…‰′″›℃∶、。〃〉》」』】〕〗〞︶︺︾﹀﹄﹚﹜﹞！＂％＇），．：；？］｀｜｝～￠"/>
  <w:compat>
    <w:spaceForUL/>
    <w:ulTrailSpac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hOTIyMzMyNTQzZjM2MzQ2MWRkNTlmZjA3ZjU2Y2YifQ=="/>
  </w:docVars>
  <w:rsids>
    <w:rsidRoot w:val="000B5B38"/>
    <w:rsid w:val="00001679"/>
    <w:rsid w:val="00025B20"/>
    <w:rsid w:val="000B5B38"/>
    <w:rsid w:val="000F30EA"/>
    <w:rsid w:val="001B3268"/>
    <w:rsid w:val="001E68B4"/>
    <w:rsid w:val="00310203"/>
    <w:rsid w:val="003B1807"/>
    <w:rsid w:val="005539A0"/>
    <w:rsid w:val="00582CB4"/>
    <w:rsid w:val="006B00F4"/>
    <w:rsid w:val="006C6F73"/>
    <w:rsid w:val="00A804E5"/>
    <w:rsid w:val="00F407A6"/>
    <w:rsid w:val="00F81E0B"/>
    <w:rsid w:val="019316BB"/>
    <w:rsid w:val="0C2A1660"/>
    <w:rsid w:val="3C1C5BC1"/>
    <w:rsid w:val="41F37681"/>
    <w:rsid w:val="528D3EA0"/>
    <w:rsid w:val="55DF1472"/>
    <w:rsid w:val="59D92243"/>
    <w:rsid w:val="63167BD5"/>
    <w:rsid w:val="6C622CF6"/>
    <w:rsid w:val="6D324D6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ocked="1"/>
    <w:lsdException w:uiPriority="99" w:name="Closing"/>
    <w:lsdException w:uiPriority="99" w:name="Signature"/>
    <w:lsdException w:unhideWhenUsed="0" w:uiPriority="99" w:name="Default Paragraph Font"/>
    <w:lsdException w:unhideWhenUsed="0" w:uiPriority="99" w:semiHidden="0"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宋体" w:cs="Arial"/>
      <w:color w:val="000000"/>
      <w:kern w:val="0"/>
      <w:sz w:val="21"/>
      <w:szCs w:val="21"/>
      <w:lang w:val="en-US" w:eastAsia="zh-CN" w:bidi="ar-SA"/>
    </w:rPr>
  </w:style>
  <w:style w:type="character" w:default="1" w:styleId="9">
    <w:name w:val="Default Paragraph Font"/>
    <w:semiHidden/>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uiPriority w:val="99"/>
    <w:pPr>
      <w:spacing w:after="120"/>
    </w:pPr>
  </w:style>
  <w:style w:type="paragraph" w:styleId="3">
    <w:name w:val="Body Text Indent"/>
    <w:basedOn w:val="1"/>
    <w:link w:val="12"/>
    <w:uiPriority w:val="99"/>
    <w:pPr>
      <w:spacing w:after="120"/>
      <w:ind w:left="420" w:leftChars="200"/>
    </w:pPr>
  </w:style>
  <w:style w:type="paragraph" w:styleId="4">
    <w:name w:val="footer"/>
    <w:basedOn w:val="1"/>
    <w:link w:val="13"/>
    <w:uiPriority w:val="99"/>
    <w:pPr>
      <w:tabs>
        <w:tab w:val="center" w:pos="4153"/>
        <w:tab w:val="right" w:pos="8306"/>
      </w:tabs>
    </w:pPr>
    <w:rPr>
      <w:sz w:val="18"/>
      <w:szCs w:val="18"/>
    </w:rPr>
  </w:style>
  <w:style w:type="paragraph" w:styleId="5">
    <w:name w:val="header"/>
    <w:basedOn w:val="1"/>
    <w:link w:val="14"/>
    <w:uiPriority w:val="99"/>
    <w:pPr>
      <w:pBdr>
        <w:bottom w:val="single" w:color="auto" w:sz="6" w:space="1"/>
      </w:pBdr>
      <w:tabs>
        <w:tab w:val="center" w:pos="4153"/>
        <w:tab w:val="right" w:pos="8306"/>
      </w:tabs>
      <w:jc w:val="center"/>
    </w:pPr>
    <w:rPr>
      <w:sz w:val="18"/>
      <w:szCs w:val="18"/>
    </w:rPr>
  </w:style>
  <w:style w:type="paragraph" w:styleId="6">
    <w:name w:val="Title"/>
    <w:basedOn w:val="1"/>
    <w:link w:val="15"/>
    <w:qFormat/>
    <w:locked/>
    <w:uiPriority w:val="99"/>
    <w:pPr>
      <w:widowControl w:val="0"/>
      <w:kinsoku/>
      <w:autoSpaceDE/>
      <w:autoSpaceDN/>
      <w:adjustRightInd/>
      <w:snapToGrid/>
      <w:jc w:val="center"/>
      <w:textAlignment w:val="auto"/>
      <w:outlineLvl w:val="0"/>
    </w:pPr>
    <w:rPr>
      <w:rFonts w:cs="Times New Roman"/>
      <w:b/>
      <w:color w:val="auto"/>
      <w:kern w:val="2"/>
      <w:sz w:val="32"/>
      <w:szCs w:val="24"/>
    </w:rPr>
  </w:style>
  <w:style w:type="paragraph" w:styleId="7">
    <w:name w:val="Body Text First Indent 2"/>
    <w:basedOn w:val="3"/>
    <w:link w:val="16"/>
    <w:uiPriority w:val="99"/>
    <w:pPr>
      <w:widowControl w:val="0"/>
      <w:kinsoku/>
      <w:autoSpaceDE/>
      <w:autoSpaceDN/>
      <w:adjustRightInd/>
      <w:snapToGrid/>
      <w:spacing w:line="640" w:lineRule="exact"/>
      <w:ind w:firstLine="420" w:firstLineChars="200"/>
      <w:jc w:val="both"/>
      <w:textAlignment w:val="auto"/>
    </w:pPr>
    <w:rPr>
      <w:rFonts w:ascii="Calibri" w:hAnsi="Calibri" w:cs="Times New Roman"/>
      <w:color w:val="auto"/>
      <w:kern w:val="2"/>
      <w:szCs w:val="22"/>
    </w:rPr>
  </w:style>
  <w:style w:type="character" w:styleId="10">
    <w:name w:val="page number"/>
    <w:basedOn w:val="9"/>
    <w:uiPriority w:val="99"/>
    <w:rPr>
      <w:rFonts w:cs="Times New Roman"/>
    </w:rPr>
  </w:style>
  <w:style w:type="character" w:customStyle="1" w:styleId="11">
    <w:name w:val="Body Text Char"/>
    <w:basedOn w:val="9"/>
    <w:link w:val="2"/>
    <w:semiHidden/>
    <w:locked/>
    <w:uiPriority w:val="99"/>
    <w:rPr>
      <w:rFonts w:cs="Times New Roman"/>
      <w:color w:val="000000"/>
      <w:kern w:val="0"/>
      <w:sz w:val="21"/>
      <w:szCs w:val="21"/>
    </w:rPr>
  </w:style>
  <w:style w:type="character" w:customStyle="1" w:styleId="12">
    <w:name w:val="Body Text Indent Char"/>
    <w:basedOn w:val="9"/>
    <w:link w:val="3"/>
    <w:semiHidden/>
    <w:locked/>
    <w:uiPriority w:val="99"/>
    <w:rPr>
      <w:rFonts w:cs="Times New Roman"/>
      <w:color w:val="000000"/>
      <w:kern w:val="0"/>
      <w:sz w:val="21"/>
      <w:szCs w:val="21"/>
    </w:rPr>
  </w:style>
  <w:style w:type="character" w:customStyle="1" w:styleId="13">
    <w:name w:val="Footer Char"/>
    <w:basedOn w:val="9"/>
    <w:link w:val="4"/>
    <w:semiHidden/>
    <w:locked/>
    <w:uiPriority w:val="99"/>
    <w:rPr>
      <w:rFonts w:cs="Times New Roman"/>
      <w:color w:val="000000"/>
      <w:kern w:val="0"/>
      <w:sz w:val="18"/>
      <w:szCs w:val="18"/>
    </w:rPr>
  </w:style>
  <w:style w:type="character" w:customStyle="1" w:styleId="14">
    <w:name w:val="Header Char"/>
    <w:basedOn w:val="9"/>
    <w:link w:val="5"/>
    <w:semiHidden/>
    <w:locked/>
    <w:uiPriority w:val="99"/>
    <w:rPr>
      <w:rFonts w:cs="Times New Roman"/>
      <w:color w:val="000000"/>
      <w:kern w:val="0"/>
      <w:sz w:val="18"/>
      <w:szCs w:val="18"/>
    </w:rPr>
  </w:style>
  <w:style w:type="character" w:customStyle="1" w:styleId="15">
    <w:name w:val="Title Char"/>
    <w:basedOn w:val="9"/>
    <w:link w:val="6"/>
    <w:locked/>
    <w:uiPriority w:val="99"/>
    <w:rPr>
      <w:rFonts w:ascii="Arial" w:hAnsi="Arial" w:eastAsia="宋体" w:cs="Times New Roman"/>
      <w:b/>
      <w:kern w:val="2"/>
      <w:sz w:val="24"/>
      <w:szCs w:val="24"/>
      <w:lang w:val="en-US" w:eastAsia="zh-CN" w:bidi="ar-SA"/>
    </w:rPr>
  </w:style>
  <w:style w:type="character" w:customStyle="1" w:styleId="16">
    <w:name w:val="Body Text First Indent 2 Char"/>
    <w:basedOn w:val="12"/>
    <w:link w:val="7"/>
    <w:semiHidden/>
    <w:locked/>
    <w:uiPriority w:val="99"/>
  </w:style>
  <w:style w:type="table" w:customStyle="1" w:styleId="17">
    <w:name w:val="Table Normal1"/>
    <w:semiHidden/>
    <w:uiPriority w:val="99"/>
    <w:rPr>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8</Pages>
  <Words>2996</Words>
  <Characters>3073</Characters>
  <Lines>0</Lines>
  <Paragraphs>0</Paragraphs>
  <TotalTime>94</TotalTime>
  <ScaleCrop>false</ScaleCrop>
  <LinksUpToDate>false</LinksUpToDate>
  <CharactersWithSpaces>3113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2022-02-23T09:40:00Z</dcterms:created>
  <dc:creator>mac</dc:creator>
  <cp:lastModifiedBy>yt</cp:lastModifiedBy>
  <cp:lastPrinted>2023-04-06T06:42:00Z</cp:lastPrinted>
  <dcterms:modified xsi:type="dcterms:W3CDTF">2023-06-21T03:17:35Z</dcterms:modified>
  <dc:title>17.doc</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KSOProductBuildVer">
    <vt:lpwstr>2052-11.1.0.14309</vt:lpwstr>
  </property>
  <property fmtid="{D5CDD505-2E9C-101B-9397-08002B2CF9AE}" pid="4" name="ICV">
    <vt:lpwstr>03F82D8AAE0D4CD485B075AB7160AA31_13</vt:lpwstr>
  </property>
</Properties>
</file>