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</w:rPr>
      </w:pPr>
      <w:r>
        <w:rPr>
          <w:rFonts w:hint="eastAsia"/>
          <w:b/>
          <w:bCs/>
          <w:sz w:val="32"/>
          <w:szCs w:val="32"/>
          <w:lang w:eastAsia="zh-CN"/>
        </w:rPr>
        <w:t>沁源县</w:t>
      </w:r>
      <w:r>
        <w:rPr>
          <w:rFonts w:hint="eastAsia"/>
          <w:b/>
          <w:bCs/>
          <w:sz w:val="32"/>
          <w:szCs w:val="32"/>
        </w:rPr>
        <w:t>统计局重大行政执法决定法制审核目录清单</w:t>
      </w:r>
    </w:p>
    <w:tbl>
      <w:tblPr>
        <w:tblStyle w:val="3"/>
        <w:tblpPr w:leftFromText="180" w:rightFromText="180" w:vertAnchor="page" w:horzAnchor="page" w:tblpX="1445" w:tblpY="2660"/>
        <w:tblOverlap w:val="never"/>
        <w:tblW w:w="13908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1080"/>
        <w:gridCol w:w="1080"/>
        <w:gridCol w:w="2700"/>
        <w:gridCol w:w="1890"/>
        <w:gridCol w:w="1782"/>
        <w:gridCol w:w="467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705" w:type="dxa"/>
            <w:vMerge w:val="restart"/>
            <w:tcBorders>
              <w:top w:val="single" w:color="000000" w:sz="4" w:space="0"/>
              <w:left w:val="single" w:color="666666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审核项目名称</w:t>
            </w:r>
          </w:p>
        </w:tc>
        <w:tc>
          <w:tcPr>
            <w:tcW w:w="2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提交机构（科室）</w:t>
            </w:r>
          </w:p>
        </w:tc>
        <w:tc>
          <w:tcPr>
            <w:tcW w:w="1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审核依据</w:t>
            </w:r>
          </w:p>
        </w:tc>
        <w:tc>
          <w:tcPr>
            <w:tcW w:w="17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提交的审核材料</w:t>
            </w:r>
          </w:p>
        </w:tc>
        <w:tc>
          <w:tcPr>
            <w:tcW w:w="46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666666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审核重点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666666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子项</w:t>
            </w:r>
          </w:p>
        </w:tc>
        <w:tc>
          <w:tcPr>
            <w:tcW w:w="2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666666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4" w:hRule="atLeast"/>
        </w:trPr>
        <w:tc>
          <w:tcPr>
            <w:tcW w:w="705" w:type="dxa"/>
            <w:tcBorders>
              <w:top w:val="single" w:color="000000" w:sz="4" w:space="0"/>
              <w:left w:val="single" w:color="666666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对提供不真实或者不完整、拒绝提供统计资料、拒绝、阻碍统计调查、统计检查等违法行为的处罚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常规统计工作中统计调查违法行为的处罚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县统计局办公室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【法律】《中华人民共和国统计法》第三十七条、第三十八条　、第四十一条、第四十二条、第四十三条　   【部门规章】《统计执法检查规定》 第三十八条 </w:t>
            </w: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案件调查报告、行政相对人陈述申辩记录、相关证据资料、统计行政处罚决定书（代拟稿）</w:t>
            </w:r>
          </w:p>
        </w:tc>
        <w:tc>
          <w:tcPr>
            <w:tcW w:w="4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666666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实体内容为统计执法主体是否合法、行政执法人员是否具备执法资格、主要事实是否清楚、证据是否确凿充分、适用法律法规规章是否准确、执行裁量基准是否适当；程序内容为处罚程序是否合法、是否有超越本机关职权范围或滥用职权情形、行政执法文书是否规范齐备；其他内容为违法行为是否涉嫌犯罪需要移送司法机关以及其他                     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05" w:type="dxa"/>
            <w:tcBorders>
              <w:top w:val="single" w:color="000000" w:sz="4" w:space="0"/>
              <w:left w:val="single" w:color="666666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重大国情国力调查中的违法行为的处罚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县统计局办公室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【法律】《中华人民共和国统计法》第四十四条　  【行政法规】《全国农业普查条例》 第三十九条《全国人口普查条例》 第三十四条、第三十五条、第三十六条 《全国经济普查条例》 第三十六条　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案件调查报告、行政相对人陈述申辩记录、相关证据资料、统计行政处罚决定书（代拟稿）</w:t>
            </w:r>
          </w:p>
        </w:tc>
        <w:tc>
          <w:tcPr>
            <w:tcW w:w="4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666666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实体内容为统计执法主体是否合法、行政执法人员是否具备执法资格、主要事实是否清楚、证据是否确凿充分、适用法律法规规章是否准确、执行裁量基准是否适当；程序内容为处罚程序是否合法、是否有超越本机关职权范围或滥用职权情形、行政执法文书是否规范齐备；其他内容为违法行为是否涉嫌犯罪需要移送司法机关以及其他 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264535"/>
    <w:rsid w:val="1DAC4E9C"/>
    <w:rsid w:val="2AFB7A36"/>
    <w:rsid w:val="56D479D9"/>
    <w:rsid w:val="5BD9543E"/>
    <w:rsid w:val="5D0D6FD1"/>
    <w:rsid w:val="5F7E3B15"/>
    <w:rsid w:val="7ED2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2020-03-20T08:55:52Z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