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76A3">
      <w:pPr>
        <w:spacing w:line="40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w:t>
      </w:r>
    </w:p>
    <w:p w14:paraId="0AEEFB3B">
      <w:pPr>
        <w:jc w:val="center"/>
        <w:rPr>
          <w:rFonts w:ascii="黑体" w:hAnsi="黑体" w:eastAsia="黑体" w:cs="仿宋"/>
          <w:sz w:val="32"/>
          <w:szCs w:val="32"/>
        </w:rPr>
      </w:pPr>
      <w:r>
        <w:rPr>
          <w:rFonts w:hint="eastAsia" w:ascii="方正小标宋简体" w:hAnsi="宋体" w:eastAsia="方正小标宋简体" w:cs="宋体"/>
          <w:color w:val="000000"/>
          <w:kern w:val="0"/>
          <w:sz w:val="44"/>
          <w:szCs w:val="44"/>
        </w:rPr>
        <w:t>沁源县</w:t>
      </w:r>
      <w:r>
        <w:rPr>
          <w:rFonts w:hint="eastAsia" w:ascii="方正小标宋简体" w:hAnsi="宋体" w:eastAsia="方正小标宋简体" w:cs="宋体"/>
          <w:color w:val="000000"/>
          <w:kern w:val="0"/>
          <w:sz w:val="44"/>
          <w:szCs w:val="44"/>
          <w:lang w:eastAsia="zh-CN"/>
        </w:rPr>
        <w:t>交口乡</w:t>
      </w:r>
      <w:bookmarkStart w:id="0" w:name="_GoBack"/>
      <w:bookmarkEnd w:id="0"/>
      <w:r>
        <w:rPr>
          <w:rFonts w:hint="eastAsia" w:ascii="方正小标宋简体" w:hAnsi="宋体" w:eastAsia="方正小标宋简体" w:cs="宋体"/>
          <w:color w:val="000000"/>
          <w:kern w:val="0"/>
          <w:sz w:val="44"/>
          <w:szCs w:val="44"/>
          <w:lang w:val="en-US" w:eastAsia="zh-CN"/>
        </w:rPr>
        <w:t>涉企</w:t>
      </w:r>
      <w:r>
        <w:rPr>
          <w:rFonts w:hint="eastAsia" w:ascii="方正小标宋简体" w:hAnsi="宋体" w:eastAsia="方正小标宋简体" w:cs="宋体"/>
          <w:color w:val="000000"/>
          <w:kern w:val="0"/>
          <w:sz w:val="44"/>
          <w:szCs w:val="44"/>
        </w:rPr>
        <w:t>行政执法事项清单</w:t>
      </w:r>
    </w:p>
    <w:tbl>
      <w:tblPr>
        <w:tblStyle w:val="3"/>
        <w:tblW w:w="13365" w:type="dxa"/>
        <w:tblInd w:w="83" w:type="dxa"/>
        <w:tblLayout w:type="fixed"/>
        <w:tblCellMar>
          <w:top w:w="0" w:type="dxa"/>
          <w:left w:w="108" w:type="dxa"/>
          <w:bottom w:w="0" w:type="dxa"/>
          <w:right w:w="108" w:type="dxa"/>
        </w:tblCellMar>
      </w:tblPr>
      <w:tblGrid>
        <w:gridCol w:w="655"/>
        <w:gridCol w:w="1862"/>
        <w:gridCol w:w="1064"/>
        <w:gridCol w:w="7405"/>
        <w:gridCol w:w="1148"/>
        <w:gridCol w:w="1231"/>
      </w:tblGrid>
      <w:tr w14:paraId="54C6C811">
        <w:tblPrEx>
          <w:tblLayout w:type="fixed"/>
        </w:tblPrEx>
        <w:trPr>
          <w:trHeight w:val="500" w:hRule="atLeast"/>
          <w:tblHead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409F241D">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862" w:type="dxa"/>
            <w:tcBorders>
              <w:top w:val="single" w:color="auto" w:sz="4" w:space="0"/>
              <w:left w:val="nil"/>
              <w:bottom w:val="single" w:color="auto" w:sz="4" w:space="0"/>
              <w:right w:val="single" w:color="auto" w:sz="4" w:space="0"/>
            </w:tcBorders>
            <w:shd w:val="clear" w:color="auto" w:fill="auto"/>
            <w:vAlign w:val="center"/>
          </w:tcPr>
          <w:p w14:paraId="027228FC">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事项名称</w:t>
            </w:r>
          </w:p>
        </w:tc>
        <w:tc>
          <w:tcPr>
            <w:tcW w:w="1064" w:type="dxa"/>
            <w:tcBorders>
              <w:top w:val="single" w:color="auto" w:sz="4" w:space="0"/>
              <w:left w:val="nil"/>
              <w:bottom w:val="single" w:color="auto" w:sz="4" w:space="0"/>
              <w:right w:val="single" w:color="auto" w:sz="4" w:space="0"/>
            </w:tcBorders>
            <w:shd w:val="clear" w:color="auto" w:fill="auto"/>
            <w:vAlign w:val="center"/>
          </w:tcPr>
          <w:p w14:paraId="0494D153">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7405" w:type="dxa"/>
            <w:tcBorders>
              <w:top w:val="single" w:color="auto" w:sz="4" w:space="0"/>
              <w:left w:val="nil"/>
              <w:bottom w:val="single" w:color="auto" w:sz="4" w:space="0"/>
              <w:right w:val="single" w:color="auto" w:sz="4" w:space="0"/>
            </w:tcBorders>
            <w:shd w:val="clear" w:color="auto" w:fill="auto"/>
            <w:vAlign w:val="center"/>
          </w:tcPr>
          <w:p w14:paraId="63A9BA7E">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设定依据</w:t>
            </w:r>
          </w:p>
        </w:tc>
        <w:tc>
          <w:tcPr>
            <w:tcW w:w="1148" w:type="dxa"/>
            <w:tcBorders>
              <w:top w:val="single" w:color="auto" w:sz="4" w:space="0"/>
              <w:left w:val="nil"/>
              <w:bottom w:val="single" w:color="auto" w:sz="4" w:space="0"/>
              <w:right w:val="single" w:color="auto" w:sz="4" w:space="0"/>
            </w:tcBorders>
            <w:shd w:val="clear" w:color="auto" w:fill="auto"/>
            <w:vAlign w:val="center"/>
          </w:tcPr>
          <w:p w14:paraId="696E18C1">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指导部门</w:t>
            </w:r>
          </w:p>
        </w:tc>
        <w:tc>
          <w:tcPr>
            <w:tcW w:w="1231" w:type="dxa"/>
            <w:tcBorders>
              <w:top w:val="single" w:color="auto" w:sz="4" w:space="0"/>
              <w:left w:val="nil"/>
              <w:bottom w:val="single" w:color="auto" w:sz="4" w:space="0"/>
              <w:right w:val="single" w:color="auto" w:sz="4" w:space="0"/>
            </w:tcBorders>
            <w:shd w:val="clear" w:color="auto" w:fill="auto"/>
            <w:vAlign w:val="center"/>
          </w:tcPr>
          <w:p w14:paraId="6819C19C">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权力主体</w:t>
            </w:r>
          </w:p>
        </w:tc>
      </w:tr>
      <w:tr w14:paraId="29E67E0B">
        <w:tblPrEx>
          <w:tblLayout w:type="fixed"/>
        </w:tblPrEx>
        <w:trPr>
          <w:trHeight w:val="90" w:hRule="atLeast"/>
        </w:trPr>
        <w:tc>
          <w:tcPr>
            <w:tcW w:w="655" w:type="dxa"/>
            <w:tcBorders>
              <w:top w:val="nil"/>
              <w:left w:val="single" w:color="auto" w:sz="4" w:space="0"/>
              <w:bottom w:val="single" w:color="auto" w:sz="4" w:space="0"/>
              <w:right w:val="single" w:color="auto" w:sz="4" w:space="0"/>
            </w:tcBorders>
            <w:shd w:val="clear" w:color="auto" w:fill="auto"/>
            <w:vAlign w:val="center"/>
          </w:tcPr>
          <w:p w14:paraId="09F7AEB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1862" w:type="dxa"/>
            <w:tcBorders>
              <w:top w:val="nil"/>
              <w:left w:val="nil"/>
              <w:bottom w:val="single" w:color="auto" w:sz="4" w:space="0"/>
              <w:right w:val="single" w:color="auto" w:sz="4" w:space="0"/>
            </w:tcBorders>
            <w:shd w:val="clear" w:color="auto" w:fill="auto"/>
            <w:vAlign w:val="center"/>
          </w:tcPr>
          <w:p w14:paraId="07B47CF4">
            <w:pPr>
              <w:widowControl/>
              <w:jc w:val="center"/>
              <w:rPr>
                <w:rFonts w:ascii="宋体" w:hAnsi="宋体" w:cs="宋体"/>
                <w:color w:val="000000"/>
                <w:kern w:val="0"/>
                <w:szCs w:val="21"/>
              </w:rPr>
            </w:pPr>
            <w:r>
              <w:rPr>
                <w:rFonts w:hint="eastAsia" w:ascii="宋体" w:hAnsi="宋体" w:cs="宋体"/>
                <w:color w:val="000000"/>
                <w:kern w:val="0"/>
                <w:szCs w:val="21"/>
              </w:rPr>
              <w:t>安全生产检查</w:t>
            </w:r>
          </w:p>
        </w:tc>
        <w:tc>
          <w:tcPr>
            <w:tcW w:w="1064" w:type="dxa"/>
            <w:tcBorders>
              <w:top w:val="nil"/>
              <w:left w:val="nil"/>
              <w:bottom w:val="single" w:color="auto" w:sz="4" w:space="0"/>
              <w:right w:val="single" w:color="auto" w:sz="4" w:space="0"/>
            </w:tcBorders>
            <w:shd w:val="clear" w:color="auto" w:fill="auto"/>
            <w:vAlign w:val="center"/>
          </w:tcPr>
          <w:p w14:paraId="2FA941EF">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vAlign w:val="center"/>
          </w:tcPr>
          <w:p w14:paraId="4EF131F6">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【法律】《中华人民共和国安全生产法》第九条第二款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41C5B995">
            <w:pPr>
              <w:widowControl/>
              <w:jc w:val="left"/>
              <w:rPr>
                <w:rFonts w:ascii="宋体" w:hAnsi="宋体" w:cs="宋体"/>
                <w:color w:val="000000"/>
                <w:kern w:val="0"/>
                <w:sz w:val="24"/>
                <w:szCs w:val="24"/>
              </w:rPr>
            </w:pPr>
            <w:r>
              <w:rPr>
                <w:rFonts w:hint="eastAsia" w:ascii="宋体" w:hAnsi="宋体" w:cs="宋体"/>
                <w:color w:val="000000"/>
                <w:kern w:val="0"/>
                <w:sz w:val="20"/>
                <w:szCs w:val="20"/>
              </w:rPr>
              <w:t>【地方性法规】《山西省安全生产条例》 第七条 乡、镇人民政府以及街道办事处、开发区管理机构等人民政府的派出机关应当按照职责，加强对本行政区域内生产经营单位安全生产状况的监督检查，协助上级人民政府有关部门依法履行安全生产监督管理职责;发现事故隐患或者违法行为的，督促其改正并向有关部门报告，负有安全生产监督管理职责的部门应当及时予以处理。</w:t>
            </w:r>
          </w:p>
        </w:tc>
        <w:tc>
          <w:tcPr>
            <w:tcW w:w="1148" w:type="dxa"/>
            <w:tcBorders>
              <w:top w:val="nil"/>
              <w:left w:val="nil"/>
              <w:bottom w:val="single" w:color="auto" w:sz="4" w:space="0"/>
              <w:right w:val="single" w:color="auto" w:sz="4" w:space="0"/>
            </w:tcBorders>
            <w:shd w:val="clear" w:color="auto" w:fill="auto"/>
            <w:vAlign w:val="center"/>
          </w:tcPr>
          <w:p w14:paraId="18C0DA8D">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vAlign w:val="center"/>
          </w:tcPr>
          <w:p w14:paraId="7A8749FB">
            <w:pPr>
              <w:widowControl/>
              <w:jc w:val="center"/>
              <w:rPr>
                <w:rFonts w:ascii="宋体" w:hAnsi="宋体" w:cs="宋体"/>
                <w:color w:val="000000"/>
                <w:kern w:val="0"/>
                <w:szCs w:val="21"/>
              </w:rPr>
            </w:pPr>
            <w:r>
              <w:rPr>
                <w:rFonts w:hint="eastAsia" w:ascii="宋体" w:hAnsi="宋体" w:cs="宋体"/>
                <w:color w:val="000000"/>
                <w:kern w:val="0"/>
                <w:szCs w:val="21"/>
                <w:lang w:eastAsia="zh-CN"/>
              </w:rPr>
              <w:t>交口乡</w:t>
            </w:r>
            <w:r>
              <w:rPr>
                <w:rFonts w:hint="eastAsia" w:ascii="宋体" w:hAnsi="宋体" w:cs="宋体"/>
                <w:color w:val="000000"/>
                <w:kern w:val="0"/>
                <w:szCs w:val="21"/>
              </w:rPr>
              <w:t>人民政府</w:t>
            </w:r>
          </w:p>
        </w:tc>
      </w:tr>
      <w:tr w14:paraId="623B154A">
        <w:tblPrEx>
          <w:tblLayout w:type="fixed"/>
        </w:tblPrEx>
        <w:trPr>
          <w:trHeight w:val="3113" w:hRule="atLeast"/>
        </w:trPr>
        <w:tc>
          <w:tcPr>
            <w:tcW w:w="655" w:type="dxa"/>
            <w:tcBorders>
              <w:top w:val="nil"/>
              <w:left w:val="single" w:color="auto" w:sz="4" w:space="0"/>
              <w:bottom w:val="single" w:color="auto" w:sz="4" w:space="0"/>
              <w:right w:val="single" w:color="auto" w:sz="4" w:space="0"/>
            </w:tcBorders>
            <w:shd w:val="clear" w:color="auto" w:fill="auto"/>
            <w:vAlign w:val="center"/>
          </w:tcPr>
          <w:p w14:paraId="39777250">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862" w:type="dxa"/>
            <w:tcBorders>
              <w:top w:val="nil"/>
              <w:left w:val="nil"/>
              <w:bottom w:val="single" w:color="auto" w:sz="4" w:space="0"/>
              <w:right w:val="single" w:color="auto" w:sz="4" w:space="0"/>
            </w:tcBorders>
            <w:shd w:val="clear" w:color="auto" w:fill="auto"/>
            <w:vAlign w:val="center"/>
          </w:tcPr>
          <w:p w14:paraId="20A69B0F">
            <w:pPr>
              <w:widowControl/>
              <w:jc w:val="center"/>
              <w:rPr>
                <w:rFonts w:hint="eastAsia" w:ascii="宋体" w:hAnsi="宋体" w:cs="宋体"/>
                <w:color w:val="000000"/>
                <w:kern w:val="0"/>
                <w:szCs w:val="21"/>
              </w:rPr>
            </w:pPr>
            <w:r>
              <w:rPr>
                <w:rFonts w:hint="eastAsia" w:ascii="宋体" w:hAnsi="宋体" w:cs="宋体"/>
                <w:color w:val="000000"/>
                <w:kern w:val="0"/>
                <w:szCs w:val="21"/>
              </w:rPr>
              <w:t>消防安全</w:t>
            </w:r>
          </w:p>
          <w:p w14:paraId="3AFBB646">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vAlign w:val="center"/>
          </w:tcPr>
          <w:p w14:paraId="24D1DDD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vAlign w:val="center"/>
          </w:tcPr>
          <w:p w14:paraId="6083B0EC">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rPr>
              <w:t>【法律】《中华人民共和国消防法》 第三十一条 在农业收获季节、森林和草原防火期间、重大节假日期间以及火灾多发季节，地方各级人民政府应当组织开展有针对性的消防宣传教育，采取防火措施，进行消防安全检查。</w:t>
            </w:r>
          </w:p>
          <w:p w14:paraId="4B694223">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rPr>
              <w:t>第五十二条 地方各级人民政府应当落实消防工作责任制，对本级人民政府有关部门履行消防安全职</w:t>
            </w:r>
            <w:r>
              <w:rPr>
                <w:rFonts w:hint="eastAsia" w:ascii="宋体" w:hAnsi="宋体" w:cs="宋体"/>
                <w:color w:val="000000"/>
                <w:kern w:val="0"/>
                <w:sz w:val="20"/>
                <w:szCs w:val="20"/>
              </w:rPr>
              <w:t>责的情况进行监督检查。</w:t>
            </w:r>
          </w:p>
          <w:p w14:paraId="714F0161">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rPr>
              <w:t>县级以上地方人民政府有关部门应当根据本系统的特点，有针对性地开展消防安全检查，及时督促整改火灾隐患。</w:t>
            </w:r>
          </w:p>
          <w:p w14:paraId="78D1049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【地方性法规】《山西省消防条例》第三十七条 各级人民政府应当根据当地消防工作实际，落实和完善消防工作责任制，与本级人民政府有关部门和下一级人民政府签订消防安全工作责任书，对其履行消防安全职责的情况进行监督检查和考核。</w:t>
            </w:r>
          </w:p>
        </w:tc>
        <w:tc>
          <w:tcPr>
            <w:tcW w:w="1148" w:type="dxa"/>
            <w:tcBorders>
              <w:top w:val="nil"/>
              <w:left w:val="nil"/>
              <w:bottom w:val="single" w:color="auto" w:sz="4" w:space="0"/>
              <w:right w:val="single" w:color="auto" w:sz="4" w:space="0"/>
            </w:tcBorders>
            <w:shd w:val="clear" w:color="auto" w:fill="auto"/>
            <w:vAlign w:val="center"/>
          </w:tcPr>
          <w:p w14:paraId="056B6832">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3BDAF2BA">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vAlign w:val="center"/>
          </w:tcPr>
          <w:p w14:paraId="7B78E381">
            <w:pPr>
              <w:widowControl/>
              <w:jc w:val="center"/>
              <w:rPr>
                <w:rFonts w:ascii="宋体" w:hAnsi="宋体" w:cs="宋体"/>
                <w:color w:val="000000"/>
                <w:kern w:val="0"/>
                <w:szCs w:val="21"/>
              </w:rPr>
            </w:pPr>
            <w:r>
              <w:rPr>
                <w:rFonts w:hint="eastAsia" w:ascii="宋体" w:hAnsi="宋体" w:cs="宋体"/>
                <w:color w:val="000000"/>
                <w:kern w:val="0"/>
                <w:szCs w:val="21"/>
                <w:lang w:eastAsia="zh-CN"/>
              </w:rPr>
              <w:t>交口乡人</w:t>
            </w:r>
            <w:r>
              <w:rPr>
                <w:rFonts w:hint="eastAsia" w:ascii="宋体" w:hAnsi="宋体" w:cs="宋体"/>
                <w:color w:val="000000"/>
                <w:kern w:val="0"/>
                <w:szCs w:val="21"/>
              </w:rPr>
              <w:t>人民政府</w:t>
            </w:r>
          </w:p>
        </w:tc>
      </w:tr>
      <w:tr w14:paraId="662EAC03">
        <w:tblPrEx>
          <w:tblLayout w:type="fixed"/>
        </w:tblPrEx>
        <w:trPr>
          <w:trHeight w:val="1883" w:hRule="atLeast"/>
        </w:trPr>
        <w:tc>
          <w:tcPr>
            <w:tcW w:w="655" w:type="dxa"/>
            <w:tcBorders>
              <w:top w:val="nil"/>
              <w:left w:val="single" w:color="auto" w:sz="4" w:space="0"/>
              <w:bottom w:val="nil"/>
              <w:right w:val="single" w:color="auto" w:sz="4" w:space="0"/>
            </w:tcBorders>
            <w:shd w:val="clear" w:color="auto" w:fill="auto"/>
            <w:vAlign w:val="center"/>
          </w:tcPr>
          <w:p w14:paraId="3FBA5A1C">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62" w:type="dxa"/>
            <w:tcBorders>
              <w:top w:val="nil"/>
              <w:left w:val="nil"/>
              <w:bottom w:val="nil"/>
              <w:right w:val="single" w:color="auto" w:sz="4" w:space="0"/>
            </w:tcBorders>
            <w:shd w:val="clear" w:color="auto" w:fill="auto"/>
            <w:vAlign w:val="center"/>
          </w:tcPr>
          <w:p w14:paraId="4785281F">
            <w:pPr>
              <w:widowControl/>
              <w:jc w:val="center"/>
              <w:rPr>
                <w:rFonts w:ascii="宋体" w:hAnsi="宋体" w:cs="宋体"/>
                <w:color w:val="000000"/>
                <w:kern w:val="0"/>
                <w:szCs w:val="21"/>
              </w:rPr>
            </w:pPr>
            <w:r>
              <w:rPr>
                <w:rFonts w:hint="eastAsia" w:ascii="宋体" w:hAnsi="宋体" w:cs="宋体"/>
                <w:color w:val="000000"/>
                <w:kern w:val="0"/>
                <w:szCs w:val="21"/>
              </w:rPr>
              <w:t>生产经营单位排查治理事故隐患工作监督管理</w:t>
            </w:r>
          </w:p>
        </w:tc>
        <w:tc>
          <w:tcPr>
            <w:tcW w:w="1064" w:type="dxa"/>
            <w:tcBorders>
              <w:top w:val="nil"/>
              <w:left w:val="nil"/>
              <w:bottom w:val="nil"/>
              <w:right w:val="single" w:color="auto" w:sz="4" w:space="0"/>
            </w:tcBorders>
            <w:shd w:val="clear" w:color="auto" w:fill="auto"/>
            <w:vAlign w:val="center"/>
          </w:tcPr>
          <w:p w14:paraId="61781E25">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nil"/>
              <w:right w:val="single" w:color="auto" w:sz="4" w:space="0"/>
            </w:tcBorders>
            <w:shd w:val="clear" w:color="auto" w:fill="auto"/>
            <w:vAlign w:val="center"/>
          </w:tcPr>
          <w:p w14:paraId="739B1A98">
            <w:pPr>
              <w:widowControl/>
              <w:rPr>
                <w:rFonts w:ascii="宋体" w:hAnsi="宋体" w:cs="宋体"/>
                <w:color w:val="000000"/>
                <w:kern w:val="0"/>
                <w:szCs w:val="21"/>
              </w:rPr>
            </w:pPr>
            <w:r>
              <w:rPr>
                <w:rFonts w:hint="eastAsia" w:ascii="宋体" w:hAnsi="宋体" w:cs="宋体"/>
                <w:color w:val="000000"/>
                <w:kern w:val="0"/>
                <w:szCs w:val="21"/>
              </w:rPr>
              <w:t>【部门规章】《安全生产事故隐患排查治理暂行规定》（原国家安全生产监督管理总局令第16号）第五条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148" w:type="dxa"/>
            <w:tcBorders>
              <w:top w:val="nil"/>
              <w:left w:val="nil"/>
              <w:bottom w:val="nil"/>
              <w:right w:val="single" w:color="auto" w:sz="4" w:space="0"/>
            </w:tcBorders>
            <w:shd w:val="clear" w:color="auto" w:fill="auto"/>
            <w:vAlign w:val="center"/>
          </w:tcPr>
          <w:p w14:paraId="67333DAC">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nil"/>
              <w:right w:val="single" w:color="auto" w:sz="4" w:space="0"/>
            </w:tcBorders>
            <w:shd w:val="clear" w:color="auto" w:fill="auto"/>
            <w:vAlign w:val="center"/>
          </w:tcPr>
          <w:p w14:paraId="275BEE84">
            <w:pPr>
              <w:widowControl/>
              <w:jc w:val="center"/>
              <w:rPr>
                <w:rFonts w:ascii="宋体" w:hAnsi="宋体" w:cs="宋体"/>
                <w:color w:val="000000"/>
                <w:kern w:val="0"/>
                <w:szCs w:val="21"/>
              </w:rPr>
            </w:pPr>
            <w:r>
              <w:rPr>
                <w:rFonts w:hint="eastAsia" w:ascii="宋体" w:hAnsi="宋体" w:cs="宋体"/>
                <w:color w:val="000000"/>
                <w:kern w:val="0"/>
                <w:szCs w:val="21"/>
                <w:lang w:eastAsia="zh-CN"/>
              </w:rPr>
              <w:t>交口乡</w:t>
            </w:r>
            <w:r>
              <w:rPr>
                <w:rFonts w:hint="eastAsia" w:ascii="宋体" w:hAnsi="宋体" w:cs="宋体"/>
                <w:color w:val="000000"/>
                <w:kern w:val="0"/>
                <w:szCs w:val="21"/>
              </w:rPr>
              <w:t>人民政府</w:t>
            </w:r>
          </w:p>
        </w:tc>
      </w:tr>
    </w:tbl>
    <w:p w14:paraId="5947844E">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000"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9054</Words>
  <Characters>9112</Characters>
  <Lines>0</Lines>
  <Paragraphs>0</Paragraphs>
  <TotalTime>0</TotalTime>
  <ScaleCrop>false</ScaleCrop>
  <LinksUpToDate>false</LinksUpToDate>
  <CharactersWithSpaces>9416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2022-08-31T18:10:00Z</dcterms:created>
  <dc:creator>yt</dc:creator>
  <cp:lastModifiedBy>iPhone</cp:lastModifiedBy>
  <dcterms:modified xsi:type="dcterms:W3CDTF">2025-08-04T16:00:28Z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2052-12.28.0</vt:lpwstr>
  </property>
  <property fmtid="{D5CDD505-2E9C-101B-9397-08002B2CF9AE}" pid="3" name="ICV">
    <vt:lpwstr>73F1F4540F214F22AC0E6968EA3F76B3_13</vt:lpwstr>
  </property>
  <property fmtid="{D5CDD505-2E9C-101B-9397-08002B2CF9AE}" pid="4" name="KSOTemplateDocerSaveRecord">
    <vt:lpwstr>eyJoZGlkIjoiM2U0N2M4MDdmMWIxNDI4MDU1OGQxYjU3NWQ2MjUzNzAiLCJ1c2VySWQiOiI1MjgzMTQzNDgifQ==</vt:lpwstr>
  </property>
</Properties>
</file>