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360" w:lineRule="exact"/>
        <w:jc w:val="left"/>
        <w:rPr>
          <w:rStyle w:val="9"/>
          <w:rFonts w:hint="eastAsia"/>
          <w:color w:val="auto"/>
          <w:shd w:val="clear" w:color="auto" w:fill="auto"/>
        </w:rPr>
      </w:pPr>
    </w:p>
    <w:p>
      <w:pPr>
        <w:widowControl/>
        <w:spacing w:before="312" w:beforeLines="100" w:after="312" w:afterLines="100" w:line="360" w:lineRule="exact"/>
        <w:jc w:val="center"/>
        <w:rPr>
          <w:rStyle w:val="9"/>
          <w:rFonts w:hint="eastAsia"/>
          <w:color w:val="auto"/>
          <w:sz w:val="24"/>
          <w:szCs w:val="24"/>
          <w:shd w:val="clear" w:color="auto" w:fill="auto"/>
        </w:rPr>
      </w:pP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沁源县20</w:t>
      </w: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  <w:t>21</w:t>
      </w: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年国民经济和社会发展统计公报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ascii="Arial" w:hAnsi="Arial" w:cs="Arial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 xml:space="preserve">2021年，沁源县委、县政府坚持以习近平新时代中国特色社会主义思想为指导，深入贯彻落实省委、市委各项决策部署，客观审视沁源实际，积极回应群众期盼，谋长远、抓统筹、强规划，做了大量基础性、铺垫性工作，实现了“十四五”良好开局，为全方位推动高质量发展奠定了坚实基础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全县地区生产总值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完成198.1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同比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13.8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%（不变价增幅）。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其中，第一产业增加值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5.34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10.6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%；第二产业增加值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144.53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13.5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73%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；第三产业增加值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48.2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14.6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%,占生产总值的比重为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24.3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%。第三产业中，交通运输、仓储和邮政业增加值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9.16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%；批发和零售业增加值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11.79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25.3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%；非营利性服务业增加值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9.99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增长8.8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746760</wp:posOffset>
            </wp:positionV>
            <wp:extent cx="5241925" cy="2588895"/>
            <wp:effectExtent l="0" t="0" r="15875" b="1905"/>
            <wp:wrapNone/>
            <wp:docPr id="1338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人均地区生产总值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color="auto" w:fill="auto"/>
          <w:lang w:val="en-US" w:eastAsia="zh-CN"/>
        </w:rPr>
        <w:t>132297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19.5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%，按20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年平均汇率计算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人均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20750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美元。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财政总收入52.6亿元，增长53.25%。地方财政收入22.45亿元，增长39.52%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一般公共预算收入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18.09亿元，增长33.76%。全县税收收入47.21亿元，增长65.34%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。公共财政预算支出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23.54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亿元，其中农林水事务支出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4.47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亿元，教育支出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亿元，医疗卫生支出增长1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.51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亿元，科技支出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0.01亿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元。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145415</wp:posOffset>
                </wp:positionV>
                <wp:extent cx="4700270" cy="258191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270" cy="2581910"/>
                          <a:chOff x="16424" y="5081"/>
                          <a:chExt cx="7402" cy="4066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6424" y="5081"/>
                            <a:ext cx="7402" cy="4066"/>
                            <a:chOff x="16424" y="5081"/>
                            <a:chExt cx="7402" cy="4066"/>
                          </a:xfrm>
                        </wpg:grpSpPr>
                        <wpg:graphicFrame>
                          <wpg:cNvPr id="19533" name="Chart 5123"/>
                          <wpg:cNvFrPr/>
                          <wpg:xfrm>
                            <a:off x="16424" y="5081"/>
                            <a:ext cx="7402" cy="4066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7"/>
                            </a:graphicData>
                          </a:graphic>
                        </wpg:graphicFrame>
                        <wps:wsp>
                          <wps:cNvPr id="1" name="文本框 1"/>
                          <wps:cNvSpPr txBox="1"/>
                          <wps:spPr>
                            <a:xfrm>
                              <a:off x="16770" y="5263"/>
                              <a:ext cx="959" cy="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亿元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" name="文本框 2"/>
                        <wps:cNvSpPr txBox="1"/>
                        <wps:spPr>
                          <a:xfrm>
                            <a:off x="22380" y="5399"/>
                            <a:ext cx="660" cy="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5pt;margin-top:11.45pt;height:203.3pt;width:370.1pt;z-index:251665408;mso-width-relative:page;mso-height-relative:page;" coordorigin="16424,5081" coordsize="7402,4066" o:gfxdata="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">
                <o:lock v:ext="edit" aspectratio="f"/>
                <v:group id="_x0000_s1026" o:spid="_x0000_s1026" o:spt="203" style="position:absolute;left:16424;top:5081;height:4066;width:7402;" coordorigin="16424,5081" coordsize="7402,406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Chart 5123" o:spid="_x0000_s1026" o:spt="75" style="position:absolute;left:16424;top:5081;height:4066;width:7402;" coordsize="21600,21600" o:gfxdata="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B9NH&#10;wAAAAN4AAAAPAAAAAAAAAAEAIAAAACIAAABkcnMvZG93bnJldi54bWxQSwECFAAUAAAACACHTuJA&#10;My8FnjsAAAA5AAAAEAAAAAAAAAABACAAAAAPAQAAZHJzL3NoYXBleG1sLnhtbFBLBQYAAAAABgAG&#10;AFsBAAC5AwAAAAA=&#10;">
                    <v:imagedata r:id="rId8" o:title=""/>
                    <o:lock v:ext="edit"/>
                  </v:rect>
                  <v:shape id="_x0000_s1026" o:spid="_x0000_s1026" o:spt="202" type="#_x0000_t202" style="position:absolute;left:16770;top:5263;height:480;width:959;" fillcolor="#FFFFFF [3201]" filled="t" stroked="f" coordsize="21600,21600" o:gfxdata="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08f+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亿元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2380;top:5399;height:464;width:660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  <w:t>二、农  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全县粮食产量6.31万吨。农作物种植面积18463.4公顷，其中：粮食种植面积14041.8公顷；玉米种植面积8281.5公顷；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马铃薯种植面积2850.8公顷；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蔬菜种植面积852.4公顷；中药材种植面积3369.7公顷。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主要农林产品产量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单位：吨</w:t>
      </w:r>
    </w:p>
    <w:tbl>
      <w:tblPr>
        <w:tblStyle w:val="4"/>
        <w:tblW w:w="79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3185"/>
        <w:gridCol w:w="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产品名称</w:t>
            </w:r>
          </w:p>
        </w:tc>
        <w:tc>
          <w:tcPr>
            <w:tcW w:w="3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油料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398.4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蔬菜及食用菌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20210.8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1505.5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食用坚果</w:t>
            </w:r>
          </w:p>
        </w:tc>
        <w:tc>
          <w:tcPr>
            <w:tcW w:w="3185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395.6</w:t>
            </w: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肉类总产量1959吨，其中，猪肉产量640吨，牛肉产量196吨，羊肉产量453吨，禽肉产量670吨；牛奶产量256吨；禽蛋产量2052吨；年末生猪存栏8050头，累计出栏8441头；牛存栏4339头，累计出栏1248头；羊存栏118804只，累计出栏32747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注意：以上数据中，粮食产量、粮食种植面积、玉米种植面积、马铃薯种植面积为市统计局反馈数，其余均为上报数。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shd w:val="clear" w:color="auto" w:fill="auto"/>
        </w:rPr>
        <w:t>工业和建筑业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年末全县规模以上工业企业42家，完成工业总产值374.6亿元，实现增加值177.5亿元，增长17.74%（可比价），其中：制造业增加值占工业增加值的比重上升率为-1.54%，战略性新兴产业增加值增长速度为16.78%。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-35560</wp:posOffset>
            </wp:positionV>
            <wp:extent cx="5023485" cy="2406650"/>
            <wp:effectExtent l="0" t="0" r="5715" b="12700"/>
            <wp:wrapNone/>
            <wp:docPr id="17477" name="Chart 3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全社会原煤产量2279.16万吨，增长18.93%；发电量10.1亿千瓦时，增长4.19%；规模以上工业企业焦炭产量259.27万吨，增长27.63%。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年规模以上工业主要工业产品产量及其增长速度</w:t>
      </w:r>
    </w:p>
    <w:tbl>
      <w:tblPr>
        <w:tblStyle w:val="4"/>
        <w:tblW w:w="8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800"/>
        <w:gridCol w:w="1439"/>
        <w:gridCol w:w="442"/>
        <w:gridCol w:w="1569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07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指   标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单 位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 量</w:t>
            </w:r>
          </w:p>
        </w:tc>
        <w:tc>
          <w:tcPr>
            <w:tcW w:w="19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比上年增长%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原  煤※</w:t>
            </w:r>
          </w:p>
        </w:tc>
        <w:tc>
          <w:tcPr>
            <w:tcW w:w="1800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2163.96</w:t>
            </w:r>
          </w:p>
        </w:tc>
        <w:tc>
          <w:tcPr>
            <w:tcW w:w="44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12.91</w:t>
            </w:r>
          </w:p>
        </w:tc>
        <w:tc>
          <w:tcPr>
            <w:tcW w:w="360" w:type="dxa"/>
            <w:tcBorders>
              <w:top w:val="single" w:color="auto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洗精煤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1022.53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12.46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发电量※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亿千瓦小时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10.1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4.19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焦  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259.27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27.63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煤  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万立方米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10466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8.04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注：标注※为全社会产量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规模以上工业企业实现主营业务收入376.7亿元，增长109.3%；实现利润102.1亿元，同比增长403%。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0000FF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全县建筑业总产值3969.2万元，增长9.6%。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255905</wp:posOffset>
            </wp:positionV>
            <wp:extent cx="4956810" cy="2387600"/>
            <wp:effectExtent l="0" t="0" r="0" b="0"/>
            <wp:wrapNone/>
            <wp:docPr id="18501" name="Chart 4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固定资产投资完成80.57亿元，同比增长17.9%（新统计口径）。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在建固定资产投资项目154个。其中，5000万以上项目66个，计划总投资247.93亿元，完成投资58亿元；5000万以下项目88个，计划总投资15.49亿元，完成投资12.69亿元；房地产项目11个，计划总投资27.5亿元，完成投资9.89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分产业看，第一产业投资4.77亿元；第二产业投资57.42亿元；第三产业投资18.38亿元。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全县招商引资签约项目当年开工率按个数为93.3%。开发区投资强度624万元/亩，产出强度935.7万元/亩，税收强度27.5万元/亩。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全县社会消费品零售总额26.04亿元，增长15.7%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其中，城镇消费品零售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额14.68亿元，增长16.1%；乡村消费品零售额11.36亿元，增长15.2%。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247650</wp:posOffset>
            </wp:positionV>
            <wp:extent cx="4814570" cy="2578100"/>
            <wp:effectExtent l="0" t="0" r="0" b="0"/>
            <wp:wrapNone/>
            <wp:docPr id="16453" name="Chart 20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注：根据新统计口径，2019年社会消费品零售总额完成23.45亿元。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年社会消费品零售总额及其增长速度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单位：亿元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54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96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比上年增长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社会消费品零售总额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26.04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分地域：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城 镇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14.68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16.1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乡 村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11.36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消费形态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餐饮收入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1.61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22.9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商品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零售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24.43</w:t>
            </w:r>
          </w:p>
        </w:tc>
        <w:tc>
          <w:tcPr>
            <w:tcW w:w="54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15.2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年限额以上批发零售业零售额及其增长速度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单位：亿元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40"/>
        <w:gridCol w:w="72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比上年增长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限额以上批发零售业零售额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720" w:firstLineChars="3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4.08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   其中：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石油及制品类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1.18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粮油、食品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.37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55.4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饮料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0.11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80.5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烟酒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0.1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86.6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服装、鞋帽、针纺织品类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0.53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62.7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文化办公用品类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31.9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化妆品类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-22.4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日用品类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157.3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五金电料类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0.19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-25.8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通讯器材类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0.18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19.6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中西药品类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0.29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26.2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汽车类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0.09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16.9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0.06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-15.9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  <w:t>交通、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邮电和旅游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年末全县公路线路里程979.8公里。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0000FF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完成邮政业务总量1824.3万元，增长10.05%；电信业务总量9679.11万元，增长6.29%，其中：联通公司业务总量4751.19万元，移动公司业务总量4000万元，电信公司业务总量927.92万元，年末移动电话用户达到12.71万户，全县互联网接入用户4.27万户。全县旅游总收入完成23.2亿元，增长20%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七、金  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全县金融机构各项存款余额112.23亿元，同比增长22.66%。各项贷款余额39.64亿元，增长-1.14%。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全县保费收入11466.6万元，其中，寿险业务保费收入3973.56万元，财产险业务保费收入7493万元。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年年末金融机构存贷款及其增长速度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单位：万元</w:t>
      </w:r>
    </w:p>
    <w:tbl>
      <w:tblPr>
        <w:tblStyle w:val="4"/>
        <w:tblW w:w="82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2205"/>
        <w:gridCol w:w="107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</w:p>
        </w:tc>
        <w:tc>
          <w:tcPr>
            <w:tcW w:w="3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95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各项存款余额</w:t>
            </w:r>
          </w:p>
        </w:tc>
        <w:tc>
          <w:tcPr>
            <w:tcW w:w="2205" w:type="dxa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  1122334</w:t>
            </w:r>
          </w:p>
        </w:tc>
        <w:tc>
          <w:tcPr>
            <w:tcW w:w="1074" w:type="dxa"/>
            <w:tcBorders>
              <w:top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785273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政府存款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50318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非银行业金融机构存款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668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286064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各项贷款余额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396382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其中：住户贷款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153664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企业贷款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242718</w:t>
            </w:r>
          </w:p>
        </w:tc>
        <w:tc>
          <w:tcPr>
            <w:tcW w:w="1074" w:type="dxa"/>
            <w:tcBorders>
              <w:top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八、教育和科学技术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普通高中1所，职业高中1所，单办初中4所，教师进修校1所，九年一贯制学校1所，小学42所，独立幼儿园22所。全县普通小学在校学生9407人。中学在校学生6201人，其中初中3708人，高中2493人。全县教师1837人，其中：幼儿教师135人，小学教师985人，初中教师400人，高中教师293人，进修校教师24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年各类教育发展情况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单位：人</w:t>
      </w:r>
    </w:p>
    <w:tbl>
      <w:tblPr>
        <w:tblStyle w:val="4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993"/>
        <w:gridCol w:w="1967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指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标</w:t>
            </w:r>
          </w:p>
        </w:tc>
        <w:tc>
          <w:tcPr>
            <w:tcW w:w="199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生</w:t>
            </w:r>
          </w:p>
        </w:tc>
        <w:tc>
          <w:tcPr>
            <w:tcW w:w="1967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在校生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中等职业教育</w:t>
            </w:r>
          </w:p>
        </w:tc>
        <w:tc>
          <w:tcPr>
            <w:tcW w:w="1993" w:type="dxa"/>
            <w:tcBorders>
              <w:top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297</w:t>
            </w:r>
          </w:p>
        </w:tc>
        <w:tc>
          <w:tcPr>
            <w:tcW w:w="1967" w:type="dxa"/>
            <w:tcBorders>
              <w:top w:val="single" w:color="auto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510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普通高中</w:t>
            </w:r>
          </w:p>
        </w:tc>
        <w:tc>
          <w:tcPr>
            <w:tcW w:w="1993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99</w:t>
            </w:r>
          </w:p>
        </w:tc>
        <w:tc>
          <w:tcPr>
            <w:tcW w:w="1967" w:type="dxa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1983</w:t>
            </w:r>
          </w:p>
        </w:tc>
        <w:tc>
          <w:tcPr>
            <w:tcW w:w="1842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初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中</w:t>
            </w:r>
          </w:p>
        </w:tc>
        <w:tc>
          <w:tcPr>
            <w:tcW w:w="1993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1375</w:t>
            </w:r>
          </w:p>
        </w:tc>
        <w:tc>
          <w:tcPr>
            <w:tcW w:w="1967" w:type="dxa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3708</w:t>
            </w:r>
          </w:p>
        </w:tc>
        <w:tc>
          <w:tcPr>
            <w:tcW w:w="1842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小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学</w:t>
            </w:r>
          </w:p>
        </w:tc>
        <w:tc>
          <w:tcPr>
            <w:tcW w:w="1993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272</w:t>
            </w:r>
          </w:p>
        </w:tc>
        <w:tc>
          <w:tcPr>
            <w:tcW w:w="1967" w:type="dxa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9407</w:t>
            </w:r>
          </w:p>
        </w:tc>
        <w:tc>
          <w:tcPr>
            <w:tcW w:w="1842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学前教育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400</w:t>
            </w:r>
          </w:p>
        </w:tc>
        <w:tc>
          <w:tcPr>
            <w:tcW w:w="196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4531</w:t>
            </w:r>
          </w:p>
        </w:tc>
        <w:tc>
          <w:tcPr>
            <w:tcW w:w="1842" w:type="dxa"/>
            <w:tcBorders>
              <w:top w:val="nil"/>
              <w:left w:val="single" w:color="000000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九、文化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卫生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全县共有艺术表演团（晋剧团）8个，文化馆1个，公共图书馆1个，公共图书馆藏书量18.7万册，档案馆1个。全县共建成村级文化活动场所187个，乡镇文化站12个，农家书屋187个。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全县共有医院4个、卫生院13个，妇幼保健机构 1个，疾病预防控制中心（防疫站）1个。卫生技术人员930人。全县新型农村合作医疗覆盖率 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建有一馆五场一公园，包括体育馆（占地面积16427平方米）；网球场、篮球场、门球场、田径场、全民健身广场、鹏飞篮球主题公园，总面积约156020平方米。全年举办各类赛事活动30余场，累计观众达到30万余人次，接待53万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十、人口、人民生活和社会保障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根据山西省1%人口抽样调查，年末全县总人口149481人，其中：男性83626人，女性65855人，男女性别比（女=100）126.99，城镇人口74038人，乡村人口75443人，城镇化率49.53%，人口自然增长率-5.23‰。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根据城乡住户一体化调查抽样显示，城镇居民人均可支配收入41416元，比上年增长7.3%；农村居民人均可支配收入19480元，比上年增长10.1%。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166370</wp:posOffset>
            </wp:positionV>
            <wp:extent cx="5271135" cy="2818765"/>
            <wp:effectExtent l="0" t="0" r="5715" b="635"/>
            <wp:wrapNone/>
            <wp:docPr id="15430" name="Chart 10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114935</wp:posOffset>
            </wp:positionV>
            <wp:extent cx="5271135" cy="2444750"/>
            <wp:effectExtent l="0" t="0" r="0" b="0"/>
            <wp:wrapNone/>
            <wp:docPr id="1440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7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 xml:space="preserve"> 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-20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年城乡居民生活改善情况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</w:p>
    <w:tbl>
      <w:tblPr>
        <w:tblStyle w:val="4"/>
        <w:tblW w:w="8892" w:type="dxa"/>
        <w:tblInd w:w="-23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716"/>
        <w:gridCol w:w="995"/>
        <w:gridCol w:w="1079"/>
        <w:gridCol w:w="1079"/>
        <w:gridCol w:w="1079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指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 标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城镇居民人均可支配收入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32507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34718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37113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38598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41416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农村居民人均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可支配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收入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13714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15085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16443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17693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19480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城乡居民养老保险人数为81425人，参加城镇职工基本医疗保险人数为26327人，参加城乡居民基本医疗保险123053人，参加企业养老保险人数25128人，参加城镇失业保险人数为23375人。全年城镇居民最低生活保障人数3851人，农村居民最低生活保障人数36120人，农村特殊困难人数6164人，城市特殊困难人数26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auto"/>
        </w:rPr>
        <w:t>十一、城市建设、资源、环境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auto"/>
          <w:lang w:eastAsia="zh-CN"/>
        </w:rPr>
        <w:t>和安全生产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全县城市建成区面积 5.54平方公里。建成区绿化面积244.89万平方米，建成区绿化覆盖率46%。城市交通运营车辆16辆，出租汽车85辆。全县共有公园12个，公园绿地总面积47.17公顷。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城市供水总量182.1万吨，全县集中供热面积420.91万平方米，其中住宅供热面积250.16万平方米。污水处理率95.65%。生活垃圾无害化处理率达到100%。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农田灌溉有效面积全年完成3.58万亩，基本农田保护面积实际完成27.88万亩。完成水土流失综合治理9.225万亩。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森林面积201.05万亩，森林覆盖率52.63%。全县工业固体废弃物综合利用率100%，全县空气质量Ⅱ级以上天数达314天，空气质量优良天数比例是86.03%，全县集中式饮用水水源水质达标率为100%，地表水考核断面达标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公报注释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1.本公报部分数据为初步统计数据。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2.地区生产总值、各产业增加值绝对数按现价计算，增长速度按不变价格计算。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3.所有增长或下降速度均为同上年相比较。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color w:val="0000FF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5.固定资产投资数据按新统计口径计算。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62941"/>
    <w:multiLevelType w:val="singleLevel"/>
    <w:tmpl w:val="0916294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jUwNGM5NWE4ZTA2OWM1ZGMzNmI1YmE0NGE2NmQifQ=="/>
  </w:docVars>
  <w:rsids>
    <w:rsidRoot w:val="4402596F"/>
    <w:rsid w:val="001B3CEF"/>
    <w:rsid w:val="01514BA1"/>
    <w:rsid w:val="02356543"/>
    <w:rsid w:val="03552288"/>
    <w:rsid w:val="04231BB2"/>
    <w:rsid w:val="043F781C"/>
    <w:rsid w:val="05D67E80"/>
    <w:rsid w:val="05E5651D"/>
    <w:rsid w:val="06C02839"/>
    <w:rsid w:val="06F26DC3"/>
    <w:rsid w:val="07D83A2A"/>
    <w:rsid w:val="08AF5700"/>
    <w:rsid w:val="09166196"/>
    <w:rsid w:val="09EC629C"/>
    <w:rsid w:val="0A412CA2"/>
    <w:rsid w:val="0A66604A"/>
    <w:rsid w:val="0A8B0093"/>
    <w:rsid w:val="0AF53C78"/>
    <w:rsid w:val="0B18365C"/>
    <w:rsid w:val="0B901724"/>
    <w:rsid w:val="0BB8350D"/>
    <w:rsid w:val="0BCD7AAE"/>
    <w:rsid w:val="0BD34F43"/>
    <w:rsid w:val="0C317027"/>
    <w:rsid w:val="0CA61888"/>
    <w:rsid w:val="0D3D6ADF"/>
    <w:rsid w:val="0D764CD3"/>
    <w:rsid w:val="0DA24024"/>
    <w:rsid w:val="0EA21A70"/>
    <w:rsid w:val="0EE9020F"/>
    <w:rsid w:val="0EEC6675"/>
    <w:rsid w:val="0F3B3D01"/>
    <w:rsid w:val="0F5F1459"/>
    <w:rsid w:val="0FD04DD2"/>
    <w:rsid w:val="10E11DD5"/>
    <w:rsid w:val="110674CA"/>
    <w:rsid w:val="11645319"/>
    <w:rsid w:val="1183138F"/>
    <w:rsid w:val="12131AE3"/>
    <w:rsid w:val="12205CCD"/>
    <w:rsid w:val="13C8253C"/>
    <w:rsid w:val="14191B68"/>
    <w:rsid w:val="148B41D4"/>
    <w:rsid w:val="14C0327C"/>
    <w:rsid w:val="1500085D"/>
    <w:rsid w:val="158B791B"/>
    <w:rsid w:val="168B26ED"/>
    <w:rsid w:val="17C2215E"/>
    <w:rsid w:val="183175C1"/>
    <w:rsid w:val="18705FAF"/>
    <w:rsid w:val="190B3855"/>
    <w:rsid w:val="194C222A"/>
    <w:rsid w:val="1956662C"/>
    <w:rsid w:val="1985793D"/>
    <w:rsid w:val="1A523EC6"/>
    <w:rsid w:val="1A6B2A6F"/>
    <w:rsid w:val="1AB423A1"/>
    <w:rsid w:val="1B1021EA"/>
    <w:rsid w:val="1B9F0908"/>
    <w:rsid w:val="1BB10B6E"/>
    <w:rsid w:val="1BD86733"/>
    <w:rsid w:val="1C0C4706"/>
    <w:rsid w:val="1D992D44"/>
    <w:rsid w:val="1E047600"/>
    <w:rsid w:val="1EE471A9"/>
    <w:rsid w:val="1F2238F8"/>
    <w:rsid w:val="1F3224C4"/>
    <w:rsid w:val="1F7C680C"/>
    <w:rsid w:val="1F83789E"/>
    <w:rsid w:val="1FA33C25"/>
    <w:rsid w:val="20CE41EE"/>
    <w:rsid w:val="20D22BEF"/>
    <w:rsid w:val="22BD043B"/>
    <w:rsid w:val="23003AB7"/>
    <w:rsid w:val="23692B9E"/>
    <w:rsid w:val="23AB0BB6"/>
    <w:rsid w:val="23FF4699"/>
    <w:rsid w:val="24BB03ED"/>
    <w:rsid w:val="25017564"/>
    <w:rsid w:val="25047167"/>
    <w:rsid w:val="257F673D"/>
    <w:rsid w:val="258A656F"/>
    <w:rsid w:val="25A8609C"/>
    <w:rsid w:val="26241536"/>
    <w:rsid w:val="27070006"/>
    <w:rsid w:val="27165858"/>
    <w:rsid w:val="27200852"/>
    <w:rsid w:val="27727621"/>
    <w:rsid w:val="277F6704"/>
    <w:rsid w:val="27F60282"/>
    <w:rsid w:val="280C09A3"/>
    <w:rsid w:val="282942CC"/>
    <w:rsid w:val="282F64FE"/>
    <w:rsid w:val="283346C6"/>
    <w:rsid w:val="283B4FBA"/>
    <w:rsid w:val="2905375E"/>
    <w:rsid w:val="293267FB"/>
    <w:rsid w:val="2971124D"/>
    <w:rsid w:val="29824AA1"/>
    <w:rsid w:val="29C7469C"/>
    <w:rsid w:val="2A44229E"/>
    <w:rsid w:val="2AC04C37"/>
    <w:rsid w:val="2BDB397D"/>
    <w:rsid w:val="2C3B1265"/>
    <w:rsid w:val="2CDC13C1"/>
    <w:rsid w:val="2D884420"/>
    <w:rsid w:val="2DEC117E"/>
    <w:rsid w:val="2E477A94"/>
    <w:rsid w:val="2EA30BF4"/>
    <w:rsid w:val="2EC34D2F"/>
    <w:rsid w:val="2EC55133"/>
    <w:rsid w:val="30340BC8"/>
    <w:rsid w:val="30BE076C"/>
    <w:rsid w:val="31011705"/>
    <w:rsid w:val="31847811"/>
    <w:rsid w:val="32A0217C"/>
    <w:rsid w:val="32AC5BFB"/>
    <w:rsid w:val="336B6D0B"/>
    <w:rsid w:val="33D91572"/>
    <w:rsid w:val="33DA3F22"/>
    <w:rsid w:val="3519616E"/>
    <w:rsid w:val="3551348F"/>
    <w:rsid w:val="36E66E9D"/>
    <w:rsid w:val="383724DB"/>
    <w:rsid w:val="38DD7396"/>
    <w:rsid w:val="38FE554D"/>
    <w:rsid w:val="396E7F3F"/>
    <w:rsid w:val="398E5F35"/>
    <w:rsid w:val="3C3A2001"/>
    <w:rsid w:val="3C887091"/>
    <w:rsid w:val="3D3C715C"/>
    <w:rsid w:val="3E070B60"/>
    <w:rsid w:val="3F3020FA"/>
    <w:rsid w:val="42F53927"/>
    <w:rsid w:val="4402596F"/>
    <w:rsid w:val="444E68E6"/>
    <w:rsid w:val="44CF0C2D"/>
    <w:rsid w:val="45133382"/>
    <w:rsid w:val="465F198F"/>
    <w:rsid w:val="47576317"/>
    <w:rsid w:val="47FB229E"/>
    <w:rsid w:val="4819643E"/>
    <w:rsid w:val="485A6B27"/>
    <w:rsid w:val="48AE74EC"/>
    <w:rsid w:val="48C82680"/>
    <w:rsid w:val="48D24B48"/>
    <w:rsid w:val="49A45828"/>
    <w:rsid w:val="49F62122"/>
    <w:rsid w:val="49F741A0"/>
    <w:rsid w:val="4A015882"/>
    <w:rsid w:val="4B7C5608"/>
    <w:rsid w:val="4C1142BB"/>
    <w:rsid w:val="4C5A77DD"/>
    <w:rsid w:val="4DA76C96"/>
    <w:rsid w:val="4DEA7112"/>
    <w:rsid w:val="4E302032"/>
    <w:rsid w:val="4E8F1B6C"/>
    <w:rsid w:val="4EB60A0B"/>
    <w:rsid w:val="506C3BE6"/>
    <w:rsid w:val="51184A96"/>
    <w:rsid w:val="51415FB0"/>
    <w:rsid w:val="52085A7A"/>
    <w:rsid w:val="520C5387"/>
    <w:rsid w:val="521C0F0D"/>
    <w:rsid w:val="52287805"/>
    <w:rsid w:val="527A3BBA"/>
    <w:rsid w:val="52B157B1"/>
    <w:rsid w:val="5431648E"/>
    <w:rsid w:val="555D6A03"/>
    <w:rsid w:val="55707166"/>
    <w:rsid w:val="5671785E"/>
    <w:rsid w:val="578D1BD3"/>
    <w:rsid w:val="57BE67A2"/>
    <w:rsid w:val="586065D9"/>
    <w:rsid w:val="58F60C3E"/>
    <w:rsid w:val="591C5532"/>
    <w:rsid w:val="59652530"/>
    <w:rsid w:val="5B0E655F"/>
    <w:rsid w:val="5B39619D"/>
    <w:rsid w:val="5B730363"/>
    <w:rsid w:val="5B9849F9"/>
    <w:rsid w:val="5CFB50D0"/>
    <w:rsid w:val="5D28260D"/>
    <w:rsid w:val="5D4347D1"/>
    <w:rsid w:val="5D7B6ECE"/>
    <w:rsid w:val="5D837CEA"/>
    <w:rsid w:val="5E6B4BE4"/>
    <w:rsid w:val="5E857409"/>
    <w:rsid w:val="5EBC4C85"/>
    <w:rsid w:val="5ED31525"/>
    <w:rsid w:val="5F9F09B3"/>
    <w:rsid w:val="5FDE5208"/>
    <w:rsid w:val="60EF3C23"/>
    <w:rsid w:val="617B378F"/>
    <w:rsid w:val="630E0041"/>
    <w:rsid w:val="631A3A14"/>
    <w:rsid w:val="640465DC"/>
    <w:rsid w:val="642B4B46"/>
    <w:rsid w:val="64AC331A"/>
    <w:rsid w:val="653A11E9"/>
    <w:rsid w:val="65811B92"/>
    <w:rsid w:val="65EC3697"/>
    <w:rsid w:val="66376A60"/>
    <w:rsid w:val="66D557F9"/>
    <w:rsid w:val="66F5765E"/>
    <w:rsid w:val="68044C7A"/>
    <w:rsid w:val="689C75B7"/>
    <w:rsid w:val="6944792A"/>
    <w:rsid w:val="69875A2E"/>
    <w:rsid w:val="6A4B7076"/>
    <w:rsid w:val="6BA03E00"/>
    <w:rsid w:val="6BB11752"/>
    <w:rsid w:val="6BE779A6"/>
    <w:rsid w:val="6C3D0EDD"/>
    <w:rsid w:val="6D994016"/>
    <w:rsid w:val="6DD66126"/>
    <w:rsid w:val="6E245706"/>
    <w:rsid w:val="6FF42F17"/>
    <w:rsid w:val="71A618A6"/>
    <w:rsid w:val="7258141A"/>
    <w:rsid w:val="73B66FB6"/>
    <w:rsid w:val="73F94D21"/>
    <w:rsid w:val="755F3888"/>
    <w:rsid w:val="760022C8"/>
    <w:rsid w:val="765111FD"/>
    <w:rsid w:val="768B3042"/>
    <w:rsid w:val="774039A8"/>
    <w:rsid w:val="77D11A98"/>
    <w:rsid w:val="77E228F1"/>
    <w:rsid w:val="780310F6"/>
    <w:rsid w:val="792632EE"/>
    <w:rsid w:val="7949464E"/>
    <w:rsid w:val="7A0B5A2B"/>
    <w:rsid w:val="7A5E57EE"/>
    <w:rsid w:val="7A614A3C"/>
    <w:rsid w:val="7B0232ED"/>
    <w:rsid w:val="7BE128CD"/>
    <w:rsid w:val="7CA34112"/>
    <w:rsid w:val="7CBE14F5"/>
    <w:rsid w:val="7D530185"/>
    <w:rsid w:val="7DAD7601"/>
    <w:rsid w:val="7E257BFD"/>
    <w:rsid w:val="7E450862"/>
    <w:rsid w:val="7F134EAA"/>
    <w:rsid w:val="7F260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FFFFFF"/>
      <w:u w:val="none"/>
    </w:rPr>
  </w:style>
  <w:style w:type="character" w:styleId="8">
    <w:name w:val="Hyperlink"/>
    <w:basedOn w:val="5"/>
    <w:qFormat/>
    <w:uiPriority w:val="0"/>
    <w:rPr>
      <w:color w:val="FFFFFF"/>
      <w:u w:val="none"/>
    </w:rPr>
  </w:style>
  <w:style w:type="character" w:customStyle="1" w:styleId="9">
    <w:name w:val="p241"/>
    <w:qFormat/>
    <w:uiPriority w:val="0"/>
    <w:rPr>
      <w:b/>
      <w:bCs/>
      <w:color w:val="98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image" Target="media/image1.pn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001\Desktop\2021&#35745;&#20844;&#25253;&#26609;&#29366;&#22270;%20&#20462;&#2591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</a:t>
            </a:r>
            <a:r>
              <a:rPr altLang="en-US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地区生产总值</a:t>
            </a:r>
            <a:r>
              <a:rPr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89413178599487"/>
          <c:y val="0.0913576674022357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8625"/>
          <c:y val="0.2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"总量"</c:f>
              <c:strCache>
                <c:ptCount val="1"/>
                <c:pt idx="0">
                  <c:v>总量</c:v>
                </c:pt>
              </c:strCache>
            </c:strRef>
          </c:tx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00258420191230942"/>
                  <c:y val="-0.04735376044568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01949860724233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111420612813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修改.xls]GDP'!$A$2:$A$6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修改.xls]GDP'!$B$2:$B$6</c:f>
              <c:numCache>
                <c:formatCode>General</c:formatCode>
                <c:ptCount val="5"/>
                <c:pt idx="0">
                  <c:v>136.3</c:v>
                </c:pt>
                <c:pt idx="1">
                  <c:v>122.97</c:v>
                </c:pt>
                <c:pt idx="2">
                  <c:v>129.3</c:v>
                </c:pt>
                <c:pt idx="3">
                  <c:v>134.8</c:v>
                </c:pt>
                <c:pt idx="4">
                  <c:v>198.1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368062707"/>
        <c:axId val="555920414"/>
      </c:barChart>
      <c:lineChart>
        <c:grouping val="standard"/>
        <c:varyColors val="0"/>
        <c:ser>
          <c:idx val="0"/>
          <c:order val="1"/>
          <c:tx>
            <c:strRef>
              <c:f>"增速"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55052114738565"/>
                  <c:y val="-0.002785515320334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16289086053924"/>
                  <c:y val="-0.0111420612813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42131105177018"/>
                  <c:y val="0.02506963788300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6736152984753"/>
                  <c:y val="0.0334261838440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4218781985779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修改.xls]GDP'!$A$2:$A$6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修改.xls]GDP'!$C$2:$C$6</c:f>
              <c:numCache>
                <c:formatCode>General</c:formatCode>
                <c:ptCount val="5"/>
                <c:pt idx="0">
                  <c:v>10.3</c:v>
                </c:pt>
                <c:pt idx="1">
                  <c:v>7.7</c:v>
                </c:pt>
                <c:pt idx="2">
                  <c:v>7.4</c:v>
                </c:pt>
                <c:pt idx="3" c:formatCode="0.0_ ">
                  <c:v>7</c:v>
                </c:pt>
                <c:pt idx="4">
                  <c:v>13.8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114486"/>
        <c:axId val="689601220"/>
      </c:lineChart>
      <c:catAx>
        <c:axId val="368062707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55920414"/>
        <c:crosses val="autoZero"/>
        <c:auto val="0"/>
        <c:lblAlgn val="ctr"/>
        <c:lblOffset val="100"/>
        <c:noMultiLvlLbl val="0"/>
      </c:catAx>
      <c:valAx>
        <c:axId val="55592041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亿元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867702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68062707"/>
        <c:crosses val="autoZero"/>
        <c:crossBetween val="between"/>
      </c:valAx>
      <c:catAx>
        <c:axId val="200114486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89601220"/>
        <c:crosses val="autoZero"/>
        <c:auto val="0"/>
        <c:lblAlgn val="ctr"/>
        <c:lblOffset val="100"/>
        <c:noMultiLvlLbl val="0"/>
      </c:catAx>
      <c:valAx>
        <c:axId val="689601220"/>
        <c:scaling>
          <c:orientation val="minMax"/>
          <c:max val="20"/>
          <c:min val="-5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Arial" panose="020B0604020202020204" charset="0"/>
                    <a:ea typeface="Arial" panose="020B0604020202020204" charset="0"/>
                    <a:cs typeface="Arial" panose="020B0604020202020204" charset="0"/>
                  </a:defRPr>
                </a:pPr>
                <a:r>
                  <a:rPr sz="900"/>
                  <a:t>%</a:t>
                </a:r>
                <a:endParaRPr sz="900" b="0" i="0" u="none" strike="noStrike" baseline="0">
                  <a:solidFill>
                    <a:srgbClr val="000000"/>
                  </a:solidFill>
                  <a:latin typeface="Arial" panose="020B0604020202020204" charset="0"/>
                  <a:ea typeface="Arial" panose="020B0604020202020204" charset="0"/>
                  <a:cs typeface="Arial" panose="020B0604020202020204" charset="0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00114486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9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/>
              <a:t>沁源县近年来财政总收入完成情况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08550083724334"/>
          <c:y val="0.013720496798877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94379897325047"/>
          <c:y val="0.199704869650762"/>
          <c:w val="0.739124560929479"/>
          <c:h val="0.688637481554353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修改.xls]财政总收入'!$A$2:$A$6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修改.xls]财政总收入'!$B$2:$B$6</c:f>
              <c:numCache>
                <c:formatCode>General</c:formatCode>
                <c:ptCount val="5"/>
                <c:pt idx="0">
                  <c:v>30.43</c:v>
                </c:pt>
                <c:pt idx="1">
                  <c:v>35.19</c:v>
                </c:pt>
                <c:pt idx="2">
                  <c:v>37.52</c:v>
                </c:pt>
                <c:pt idx="3">
                  <c:v>34.32</c:v>
                </c:pt>
                <c:pt idx="4">
                  <c:v>52.6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8751786"/>
        <c:axId val="58675704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57138592710753"/>
                  <c:y val="-0.0055720653789004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72343958432448"/>
                  <c:y val="-0.0417904903417533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50607748206607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4572803850782"/>
                  <c:y val="-0.011144130757800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84936426645771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修改.xls]财政总收入'!$A$2:$A$6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修改.xls]财政总收入'!$C$2:$C$6</c:f>
              <c:numCache>
                <c:formatCode>General</c:formatCode>
                <c:ptCount val="5"/>
                <c:pt idx="0">
                  <c:v>85.36</c:v>
                </c:pt>
                <c:pt idx="1">
                  <c:v>15.6</c:v>
                </c:pt>
                <c:pt idx="2">
                  <c:v>6.6</c:v>
                </c:pt>
                <c:pt idx="3">
                  <c:v>-8.5</c:v>
                </c:pt>
                <c:pt idx="4">
                  <c:v>53.25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735099"/>
        <c:axId val="743704298"/>
      </c:lineChart>
      <c:catAx>
        <c:axId val="4875178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86757042"/>
        <c:crosses val="autoZero"/>
        <c:auto val="0"/>
        <c:lblAlgn val="ctr"/>
        <c:lblOffset val="100"/>
        <c:noMultiLvlLbl val="0"/>
      </c:catAx>
      <c:valAx>
        <c:axId val="58675704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8751786"/>
        <c:crosses val="autoZero"/>
        <c:crossBetween val="between"/>
      </c:valAx>
      <c:catAx>
        <c:axId val="282735099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43704298"/>
        <c:crosses val="autoZero"/>
        <c:auto val="0"/>
        <c:lblAlgn val="ctr"/>
        <c:lblOffset val="100"/>
        <c:noMultiLvlLbl val="0"/>
      </c:catAx>
      <c:valAx>
        <c:axId val="743704298"/>
        <c:scaling>
          <c:orientation val="minMax"/>
          <c:max val="100"/>
          <c:min val="-2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82735099"/>
        <c:crosses val="max"/>
        <c:crossBetween val="between"/>
        <c:majorUnit val="20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/>
              <a:t>沁源县近年来工业增加值完成情况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92850990525409"/>
          <c:y val="0.022284122562674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153091029023747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0.00129198966408269"/>
                  <c:y val="-0.04735376044568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387596899224806"/>
                  <c:y val="-0.04456824512534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修改.xls]工业产值'!$A$2:$A$6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修改.xls]工业产值'!$B$2:$B$6</c:f>
              <c:numCache>
                <c:formatCode>General</c:formatCode>
                <c:ptCount val="5"/>
                <c:pt idx="0">
                  <c:v>104</c:v>
                </c:pt>
                <c:pt idx="1">
                  <c:v>82.43</c:v>
                </c:pt>
                <c:pt idx="2">
                  <c:v>83.52</c:v>
                </c:pt>
                <c:pt idx="3">
                  <c:v>84.4</c:v>
                </c:pt>
                <c:pt idx="4">
                  <c:v>177.5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35443928"/>
        <c:axId val="885574366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0387596899224805"/>
                  <c:y val="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3798449612403"/>
                  <c:y val="0.016713091922005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55038759689922"/>
                  <c:y val="0.0557103064066852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19638242894057"/>
                  <c:y val="-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59285095939685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修改.xls]工业产值'!$A$2:$A$6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修改.xls]工业产值'!$C$2:$C$6</c:f>
              <c:numCache>
                <c:formatCode>General</c:formatCode>
                <c:ptCount val="5"/>
                <c:pt idx="0">
                  <c:v>15.55</c:v>
                </c:pt>
                <c:pt idx="1">
                  <c:v>8.52</c:v>
                </c:pt>
                <c:pt idx="2">
                  <c:v>9.46</c:v>
                </c:pt>
                <c:pt idx="3">
                  <c:v>7.31</c:v>
                </c:pt>
                <c:pt idx="4">
                  <c:v>17.74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016115"/>
        <c:axId val="841912639"/>
      </c:lineChart>
      <c:catAx>
        <c:axId val="23544392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85574366"/>
        <c:crosses val="autoZero"/>
        <c:auto val="0"/>
        <c:lblAlgn val="ctr"/>
        <c:lblOffset val="100"/>
        <c:noMultiLvlLbl val="0"/>
      </c:catAx>
      <c:valAx>
        <c:axId val="88557436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471924124277591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35443928"/>
        <c:crosses val="autoZero"/>
        <c:crossBetween val="between"/>
      </c:valAx>
      <c:catAx>
        <c:axId val="166016115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41912639"/>
        <c:crosses val="autoZero"/>
        <c:auto val="0"/>
        <c:lblAlgn val="ctr"/>
        <c:lblOffset val="100"/>
        <c:noMultiLvlLbl val="0"/>
      </c:catAx>
      <c:valAx>
        <c:axId val="841912639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7846834787006"/>
              <c:y val="0.0079155672823219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166016115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沁源县近年来固定资产投资完成情况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71521254051016"/>
          <c:y val="0.0086306098964326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39363950807071"/>
          <c:y val="0.147802359033372"/>
          <c:w val="0.74375"/>
          <c:h val="0.6827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修改.xls]固定资产投资'!$A$2:$A$6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 c:formatCode="m&quot;月&quot;d&quot;日&quot;">
                  <c:v>2021年</c:v>
                </c:pt>
              </c:strCache>
            </c:strRef>
          </c:cat>
          <c:val>
            <c:numRef>
              <c:f>'[2021计公报柱状图 修改.xls]固定资产投资'!$B$2:$B$6</c:f>
              <c:numCache>
                <c:formatCode>General</c:formatCode>
                <c:ptCount val="5"/>
                <c:pt idx="0">
                  <c:v>50.1</c:v>
                </c:pt>
                <c:pt idx="1">
                  <c:v>55.7</c:v>
                </c:pt>
                <c:pt idx="2">
                  <c:v>60.5</c:v>
                </c:pt>
                <c:pt idx="3">
                  <c:v>68.32</c:v>
                </c:pt>
                <c:pt idx="4">
                  <c:v>80.57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5064898"/>
        <c:axId val="72002507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55052114738565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55052114738565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9210095615471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93815143423206"/>
                  <c:y val="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56929647476693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修改.xls]固定资产投资'!$A$2:$A$6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 c:formatCode="m&quot;月&quot;d&quot;日&quot;">
                  <c:v>2021年</c:v>
                </c:pt>
              </c:strCache>
            </c:strRef>
          </c:cat>
          <c:val>
            <c:numRef>
              <c:f>'[2021计公报柱状图 修改.xls]固定资产投资'!$C$2:$C$6</c:f>
              <c:numCache>
                <c:formatCode>General</c:formatCode>
                <c:ptCount val="5"/>
                <c:pt idx="0">
                  <c:v>7.8</c:v>
                </c:pt>
                <c:pt idx="1">
                  <c:v>11.2</c:v>
                </c:pt>
                <c:pt idx="2">
                  <c:v>8.5</c:v>
                </c:pt>
                <c:pt idx="3">
                  <c:v>12.9</c:v>
                </c:pt>
                <c:pt idx="4">
                  <c:v>17.9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1395433"/>
        <c:axId val="952128751"/>
      </c:lineChart>
      <c:catAx>
        <c:axId val="7506489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20025072"/>
        <c:crosses val="autoZero"/>
        <c:auto val="0"/>
        <c:lblAlgn val="ctr"/>
        <c:lblOffset val="100"/>
        <c:noMultiLvlLbl val="0"/>
      </c:catAx>
      <c:valAx>
        <c:axId val="720025072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277959731779639"/>
              <c:y val="0.046340244832737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5064898"/>
        <c:crosses val="autoZero"/>
        <c:crossBetween val="between"/>
      </c:valAx>
      <c:catAx>
        <c:axId val="48139543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52128751"/>
        <c:crosses val="autoZero"/>
        <c:auto val="0"/>
        <c:lblAlgn val="ctr"/>
        <c:lblOffset val="100"/>
        <c:noMultiLvlLbl val="0"/>
      </c:catAx>
      <c:valAx>
        <c:axId val="952128751"/>
        <c:scaling>
          <c:orientation val="minMax"/>
          <c:max val="25"/>
          <c:min val="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8381169849322"/>
              <c:y val="0.049565021566641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81395433"/>
        <c:crosses val="max"/>
        <c:crossBetween val="between"/>
        <c:majorUnit val="5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沁源县近年来社会消费品零售总额完成情况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866975058827302"/>
          <c:y val="0.0071258907363420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20395133116492"/>
          <c:y val="0.187012987012987"/>
          <c:w val="0.76352246717263"/>
          <c:h val="0.69506493506493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0.00361402240693892"/>
                  <c:y val="0.03229750750642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修改.xls]社会消费品零售总额'!$A$2:$A$6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修改.xls]社会消费品零售总额'!$B$2:$B$6</c:f>
              <c:numCache>
                <c:formatCode>General</c:formatCode>
                <c:ptCount val="5"/>
                <c:pt idx="0">
                  <c:v>25.25</c:v>
                </c:pt>
                <c:pt idx="1">
                  <c:v>27.91</c:v>
                </c:pt>
                <c:pt idx="2">
                  <c:v>23.45</c:v>
                </c:pt>
                <c:pt idx="3">
                  <c:v>22.52</c:v>
                </c:pt>
                <c:pt idx="4">
                  <c:v>26.04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830878874"/>
        <c:axId val="293379344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19638242894057"/>
                  <c:y val="0.033426183844011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32558139534884"/>
                  <c:y val="0.022284122562674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7958656330749"/>
                  <c:y val="-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93798449612403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646881995164487"/>
                  <c:y val="-0.0066816192164381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修改.xls]社会消费品零售总额'!$A$2:$A$6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修改.xls]社会消费品零售总额'!$C$2:$C$6</c:f>
              <c:numCache>
                <c:formatCode>General</c:formatCode>
                <c:ptCount val="5"/>
                <c:pt idx="0">
                  <c:v>8.1</c:v>
                </c:pt>
                <c:pt idx="1">
                  <c:v>10.5</c:v>
                </c:pt>
                <c:pt idx="3" c:formatCode="0.0_ ">
                  <c:v>-4</c:v>
                </c:pt>
                <c:pt idx="4">
                  <c:v>15.7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917326"/>
        <c:axId val="343526484"/>
      </c:lineChart>
      <c:catAx>
        <c:axId val="830878874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93379344"/>
        <c:crosses val="autoZero"/>
        <c:auto val="0"/>
        <c:lblAlgn val="ctr"/>
        <c:lblOffset val="100"/>
        <c:noMultiLvlLbl val="0"/>
      </c:catAx>
      <c:valAx>
        <c:axId val="29337934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158352325581395"/>
              <c:y val="0.0768107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30878874"/>
        <c:crosses val="autoZero"/>
        <c:crossBetween val="between"/>
      </c:valAx>
      <c:catAx>
        <c:axId val="932917326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43526484"/>
        <c:crosses val="autoZero"/>
        <c:auto val="0"/>
        <c:lblAlgn val="ctr"/>
        <c:lblOffset val="100"/>
        <c:noMultiLvlLbl val="0"/>
      </c:catAx>
      <c:valAx>
        <c:axId val="343526484"/>
        <c:scaling>
          <c:orientation val="minMax"/>
          <c:max val="20"/>
          <c:min val="-1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1660331167566"/>
              <c:y val="0.075909511353084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32917326"/>
        <c:crosses val="max"/>
        <c:crossBetween val="between"/>
        <c:majorUnit val="5"/>
      </c:valAx>
      <c:spPr>
        <a:noFill/>
        <a:ln w="12700">
          <a:solidFill>
            <a:srgbClr val="80808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/>
              <a:t>沁源近年来城镇居民人均可支配收入完成情况</a:t>
            </a:r>
            <a:endParaRPr sz="14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52149459471167"/>
          <c:y val="0.0114740138842785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修改.xls]城镇居民人均可支配收入'!$A$2:$A$6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修改.xls]城镇居民人均可支配收入'!$B$2:$B$6</c:f>
              <c:numCache>
                <c:formatCode>General</c:formatCode>
                <c:ptCount val="5"/>
                <c:pt idx="0">
                  <c:v>32507</c:v>
                </c:pt>
                <c:pt idx="1">
                  <c:v>34718</c:v>
                </c:pt>
                <c:pt idx="2">
                  <c:v>37113</c:v>
                </c:pt>
                <c:pt idx="3">
                  <c:v>38598</c:v>
                </c:pt>
                <c:pt idx="4">
                  <c:v>41416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63739772"/>
        <c:axId val="333567587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0671834625323"/>
                  <c:y val="-0.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45478036175711"/>
                  <c:y val="-0.022284122562674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19638242894057"/>
                  <c:y val="-0.016713091922005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67958656330749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53049646582228"/>
                  <c:y val="0.00081890008854162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修改.xls]城镇居民人均可支配收入'!$A$2:$A$6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修改.xls]城镇居民人均可支配收入'!$C$2:$C$6</c:f>
              <c:numCache>
                <c:formatCode>General</c:formatCode>
                <c:ptCount val="5"/>
                <c:pt idx="0">
                  <c:v>6.8</c:v>
                </c:pt>
                <c:pt idx="1">
                  <c:v>6.8</c:v>
                </c:pt>
                <c:pt idx="2">
                  <c:v>6.9</c:v>
                </c:pt>
                <c:pt idx="3" c:formatCode="0.0_ ">
                  <c:v>4</c:v>
                </c:pt>
                <c:pt idx="4">
                  <c:v>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047058"/>
        <c:axId val="219350558"/>
      </c:lineChart>
      <c:catAx>
        <c:axId val="56373977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3567587"/>
        <c:crosses val="autoZero"/>
        <c:auto val="0"/>
        <c:lblAlgn val="ctr"/>
        <c:lblOffset val="100"/>
        <c:noMultiLvlLbl val="0"/>
      </c:catAx>
      <c:valAx>
        <c:axId val="33356758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11722244846438"/>
              <c:y val="0.0973018342564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63739772"/>
        <c:crosses val="autoZero"/>
        <c:crossBetween val="between"/>
      </c:valAx>
      <c:catAx>
        <c:axId val="697047058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19350558"/>
        <c:crosses val="autoZero"/>
        <c:auto val="0"/>
        <c:lblAlgn val="ctr"/>
        <c:lblOffset val="100"/>
        <c:noMultiLvlLbl val="0"/>
      </c:catAx>
      <c:valAx>
        <c:axId val="219350558"/>
        <c:scaling>
          <c:orientation val="minMax"/>
          <c:max val="1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32104565715"/>
              <c:y val="0.0898732491011441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97047058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/>
              <a:t>沁源近年来农村居民人均可支配收入完成情况</a:t>
            </a:r>
            <a:endParaRPr sz="14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08532983946706"/>
          <c:y val="0.00779220779220779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245478036175711"/>
                  <c:y val="0.00557103064066852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修改.xls]农村居民人均可支配收入'!$A$2:$A$6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修改.xls]农村居民人均可支配收入'!$B$2:$B$6</c:f>
              <c:numCache>
                <c:formatCode>General</c:formatCode>
                <c:ptCount val="5"/>
                <c:pt idx="0">
                  <c:v>13714</c:v>
                </c:pt>
                <c:pt idx="1">
                  <c:v>15085</c:v>
                </c:pt>
                <c:pt idx="2">
                  <c:v>16443</c:v>
                </c:pt>
                <c:pt idx="3">
                  <c:v>17693</c:v>
                </c:pt>
                <c:pt idx="4">
                  <c:v>19480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328479982"/>
        <c:axId val="316190078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80878552971576"/>
                  <c:y val="0.011142061281337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84237726098191"/>
                  <c:y val="-0.030640668523676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19638242894057"/>
                  <c:y val="-0.0194986072423398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84237726098191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14678720878865"/>
                  <c:y val="-0.003896103896103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'[2021计公报柱状图 修改.xls]农村居民人均可支配收入'!$A$2:$A$6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'[2021计公报柱状图 修改.xls]农村居民人均可支配收入'!$C$2:$C$6</c:f>
              <c:numCache>
                <c:formatCode>General</c:formatCode>
                <c:ptCount val="5"/>
                <c:pt idx="0">
                  <c:v>7.6</c:v>
                </c:pt>
                <c:pt idx="1">
                  <c:v>10</c:v>
                </c:pt>
                <c:pt idx="2">
                  <c:v>9</c:v>
                </c:pt>
                <c:pt idx="3">
                  <c:v>7.6</c:v>
                </c:pt>
                <c:pt idx="4">
                  <c:v>10.1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852976"/>
        <c:axId val="695694426"/>
      </c:lineChart>
      <c:catAx>
        <c:axId val="32847998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16190078"/>
        <c:crosses val="autoZero"/>
        <c:auto val="0"/>
        <c:lblAlgn val="ctr"/>
        <c:lblOffset val="100"/>
        <c:noMultiLvlLbl val="0"/>
      </c:catAx>
      <c:valAx>
        <c:axId val="31619007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t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78920086070387"/>
              <c:y val="0.064911008856974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28479982"/>
        <c:crosses val="autoZero"/>
        <c:crossBetween val="between"/>
      </c:valAx>
      <c:catAx>
        <c:axId val="253852976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95694426"/>
        <c:crosses val="autoZero"/>
        <c:auto val="0"/>
        <c:lblAlgn val="ctr"/>
        <c:lblOffset val="100"/>
        <c:noMultiLvlLbl val="0"/>
      </c:catAx>
      <c:valAx>
        <c:axId val="695694426"/>
        <c:scaling>
          <c:orientation val="minMax"/>
          <c:max val="20"/>
          <c:min val="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4926819964097"/>
              <c:y val="0.0698346152491891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53852976"/>
        <c:crosses val="max"/>
        <c:crossBetween val="between"/>
        <c:majorUnit val="4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3043</Words>
  <Characters>4057</Characters>
  <Lines>0</Lines>
  <Paragraphs>0</Paragraphs>
  <TotalTime>11</TotalTime>
  <ScaleCrop>false</ScaleCrop>
  <LinksUpToDate>false</LinksUpToDate>
  <CharactersWithSpaces>4282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2018-03-21T02:43:00Z</dcterms:created>
  <dc:creator>安静的娃娃脸</dc:creator>
  <cp:lastModifiedBy>向阳花开</cp:lastModifiedBy>
  <cp:lastPrinted>2021-04-19T06:37:00Z</cp:lastPrinted>
  <dcterms:modified xsi:type="dcterms:W3CDTF">2023-02-01T03:38:58Z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18E024CEA106474FAB3F11D43E1E3D0A</vt:lpwstr>
  </property>
</Properties>
</file>