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FF"/>
          <w:sz w:val="18"/>
          <w:szCs w:val="18"/>
          <w:shd w:val="clear" w:color="auto" w:fill="auto"/>
        </w:rPr>
      </w:pPr>
    </w:p>
    <w:p>
      <w:pPr>
        <w:widowControl/>
        <w:spacing w:before="312" w:beforeLines="100" w:after="312" w:afterLines="100" w:line="360" w:lineRule="exact"/>
        <w:jc w:val="center"/>
        <w:rPr>
          <w:rStyle w:val="7"/>
          <w:rFonts w:hint="eastAsia"/>
          <w:color w:val="auto"/>
          <w:sz w:val="24"/>
          <w:szCs w:val="24"/>
          <w:shd w:val="clear" w:color="auto" w:fill="auto"/>
        </w:rPr>
      </w:pPr>
      <w:r>
        <w:rPr>
          <w:rStyle w:val="7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沁源县20</w:t>
      </w:r>
      <w:r>
        <w:rPr>
          <w:rStyle w:val="7"/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  <w:t>19</w:t>
      </w:r>
      <w:r>
        <w:rPr>
          <w:rStyle w:val="7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年国民经济和社会发展统计公报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ascii="Arial" w:hAnsi="Arial" w:cs="Arial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年，沁源县委、县政府坚持稳中求进工作总基调，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紧扣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“绿色立县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，建设美丽沁源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”发展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战略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，按照推动高质量发展要求，践行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“转型、增绿、开放、强基、富民”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五大发展思路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和“修路、种树、治水、兴文、尚旅”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五条发展路径，人民生活持续改善，经济运行保持在合理区间，总体平稳、稳中有进态势持续显现，经济社会发展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取得显著成效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，全面建成小康社会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迈出新步伐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全年全县地区生产总值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129.3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亿元，比上年增长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%（不变价增幅）。其中，第一产业增加值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-8.5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1.9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%；第二产业增加值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88.74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68.7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%；第三产业增加值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38.04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4.9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%,占生产总值的比重为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29.4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%。第三产业中，交通运输、仓储和邮政业增加值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7.63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%；批发和零售业增加值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8.36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%；非营利性服务业增加值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9.04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增长8.4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人均地区生产总值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78584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7.18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%，按201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年平均汇率计算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人均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11391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美元。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18415</wp:posOffset>
            </wp:positionV>
            <wp:extent cx="5270500" cy="2444750"/>
            <wp:effectExtent l="0" t="0" r="6350" b="12700"/>
            <wp:wrapNone/>
            <wp:docPr id="1337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全年全县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财政总收入37.52亿元，增长6.6%。地方财政收入16.17亿元，增长9.5%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一般公共预算收入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13.14亿元，增长8.4%。全年全县税收收入33.17亿元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。公共财政预算支出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19.79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亿元，其中农林水事务支出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2.86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亿元，教育支出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亿元，医疗卫生支出增长1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.15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亿元，科技支出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0.13亿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元。</w:t>
      </w:r>
      <w:r>
        <w:rPr>
          <w:rFonts w:hint="eastAsia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444750"/>
            <wp:effectExtent l="0" t="0" r="0" b="0"/>
            <wp:docPr id="19519" name="Chart 5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全年全县城镇新增就业3545人。转移农村劳动力3764人。年末城镇登记失业率1.8%。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  <w:t>二、农  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全年全县农作物种植面积16042.6公顷。其中：粮食种植面积13195公顷；玉米种植面积7730.2公顷。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马铃薯种植面积2815.1公顷，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蔬菜种植面积644.6公顷。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年主要农林产品产量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单位：吨</w:t>
      </w:r>
    </w:p>
    <w:tbl>
      <w:tblPr>
        <w:tblStyle w:val="4"/>
        <w:tblW w:w="79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3185"/>
        <w:gridCol w:w="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产品名称</w:t>
            </w:r>
          </w:p>
        </w:tc>
        <w:tc>
          <w:tcPr>
            <w:tcW w:w="3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油料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800.9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蔬菜及食用菌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15394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898.3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食用坚果</w:t>
            </w:r>
          </w:p>
        </w:tc>
        <w:tc>
          <w:tcPr>
            <w:tcW w:w="3185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362.6</w:t>
            </w: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全年全县肉类总产量2250吨，其中，猪肉产量556吨，牛肉产量127吨，羊肉产量775吨，禽肉产量7920吨。牛奶产量129吨。禽蛋产量2220吨。年末生猪存栏7127头，累计出栏7426头。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年末全县农业机械总动力40904千瓦。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工业和建筑业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年末全县规模以上工业企业31家，完成工业总产值179.53亿元，共实现增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加值83.52亿元，增长9.46%（可比价），其中：制造业增加值占工业增加值的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比重上升率为0.13%，煤炭工业增加值占工业增加值的比重降低率为-0.2%。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444750"/>
            <wp:effectExtent l="0" t="0" r="5715" b="12700"/>
            <wp:docPr id="17471" name="Chart 3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全社会原煤产量1743.93万吨，增长17.07%；发电量9.12亿千瓦时，下降11.28%；规模以上工业企业焦炭产量166.32万吨，增长10.3%；全年共向省外运输煤炭264.9万吨。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年规模以上工业主要工业产品产量及其增长速度</w:t>
      </w:r>
    </w:p>
    <w:tbl>
      <w:tblPr>
        <w:tblStyle w:val="4"/>
        <w:tblW w:w="8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800"/>
        <w:gridCol w:w="1439"/>
        <w:gridCol w:w="442"/>
        <w:gridCol w:w="1569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07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标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产  量</w:t>
            </w:r>
          </w:p>
        </w:tc>
        <w:tc>
          <w:tcPr>
            <w:tcW w:w="19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比上年增长%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原  煤※</w:t>
            </w:r>
          </w:p>
        </w:tc>
        <w:tc>
          <w:tcPr>
            <w:tcW w:w="1800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吨</w:t>
            </w:r>
          </w:p>
        </w:tc>
        <w:tc>
          <w:tcPr>
            <w:tcW w:w="1439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1579.74</w:t>
            </w:r>
          </w:p>
        </w:tc>
        <w:tc>
          <w:tcPr>
            <w:tcW w:w="44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13.77</w:t>
            </w:r>
          </w:p>
        </w:tc>
        <w:tc>
          <w:tcPr>
            <w:tcW w:w="360" w:type="dxa"/>
            <w:tcBorders>
              <w:top w:val="single" w:color="auto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洗精煤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吨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702.75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-4.11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发电量※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亿千瓦小时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-11.28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焦  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吨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166.32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10.3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  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万立方米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10822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注：标注※为全社会产量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规模以上工业企业实现主营业务收入157.4亿元，增长8%；实现利润26.3亿元，同比增长-4.4%；实现利税44.4亿元，同比增长-4.9%。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全年全县建筑业总产值3623.9万元，增长-4.6%。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全年固定资产投资60.5亿元，增长8.5%（新统计口径）。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  <w:r>
        <w:drawing>
          <wp:inline distT="0" distB="0" distL="114300" distR="114300">
            <wp:extent cx="5271135" cy="2444750"/>
            <wp:effectExtent l="0" t="0" r="0" b="0"/>
            <wp:docPr id="18495" name="Chart 4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分产业看，第一产业投资1.02亿元；第二产业投资44.72亿元；第三产业投资14.75亿元。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全年全县在建固定资产投资项目83个。其中，5000万以上项目50个，计划总投资137亿元，完成投资55.94亿元。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全年全县招商引资签约项目当年开工率按个数为68.75%，按投资额为43.78%。全年开发区投资强度是383.8万元/亩，产出强度是211.7万元/亩，税收强度27.2万元/亩。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国内贸易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2"/>
          <w:szCs w:val="22"/>
          <w:shd w:val="clear" w:color="auto" w:fill="auto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全年全县社会消费品零售总额29.95亿元，增长7.3%。其中，城镇消费品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零售额14.45亿元，增长7.3%；乡村消费品零售额15.5亿元，增长7.4%。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</w:rPr>
      </w:pPr>
      <w:r>
        <w:drawing>
          <wp:inline distT="0" distB="0" distL="114300" distR="114300">
            <wp:extent cx="5271135" cy="2444750"/>
            <wp:effectExtent l="0" t="0" r="0" b="0"/>
            <wp:docPr id="16447" name="Chart 20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年社会消费品零售总额及其增长速度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单位：亿元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54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96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比上年增长%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社会消费品零售总额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分地域：城 镇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14.45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乡 村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分行业：批发业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零售业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23.45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住宿业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餐饮业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2.05</w:t>
            </w:r>
          </w:p>
        </w:tc>
        <w:tc>
          <w:tcPr>
            <w:tcW w:w="54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201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年限额以上批发零售业零售额及其增长速度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单位：亿元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40"/>
        <w:gridCol w:w="72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比上年增长%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限额以上批发零售业零售额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其中：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石油及制品类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1.03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粮油、食品、饮料、烟酒类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服装、鞋帽、针纺织品类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0.39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文化办公用品类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化妆品类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0.04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五金电料类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通讯器材类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0.16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中西药品类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六、交通、邮电和旅游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年末全县公路线路里程948.81公里。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全年全县完成邮政业务总量1578.15万元，增长11.41%；电信业务总量9966.88万元，增长0.64%，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其中：联通公司业务总量3200万元，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移动公司业务总量6000万元，电信公司业务总量766.88万元，年末移动电话用户达到14.42万户，全县互联网接入用户5.07万户。全年全县旅游总收入完成44.7亿元，增长19%。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七、金  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年末全县金融机构各项存款余额78.82亿元，同比增长6.87%。各项贷款余额34.53亿元，增长20.95%。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年年末金融机构存贷款及其增长速度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单位：万元</w:t>
      </w:r>
    </w:p>
    <w:tbl>
      <w:tblPr>
        <w:tblStyle w:val="4"/>
        <w:tblW w:w="82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2160"/>
        <w:gridCol w:w="141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0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</w:p>
        </w:tc>
        <w:tc>
          <w:tcPr>
            <w:tcW w:w="35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700" w:type="dxa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各项存款余额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   788184</w:t>
            </w:r>
          </w:p>
        </w:tc>
        <w:tc>
          <w:tcPr>
            <w:tcW w:w="1414" w:type="dxa"/>
            <w:tcBorders>
              <w:top w:val="single" w:color="auto" w:sz="12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其中：住户存款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599127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政府存款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131222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企业存款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57798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各项贷款余额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345345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其中：住户贷款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96196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企业贷款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249159</w:t>
            </w:r>
          </w:p>
        </w:tc>
        <w:tc>
          <w:tcPr>
            <w:tcW w:w="1414" w:type="dxa"/>
            <w:tcBorders>
              <w:top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年末全县保费收入11722万元，其中，寿险业务保费收入7173万元，财产险业务保费收入4549万元。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八、教育和科学技术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普通高中1所，职业高中1所，单办初中4所，教师进修校1所，九年一贯制学校1所，小学42所，独立幼儿园38所。中学在校学生5977人。全县教师为1898人，其中：幼儿教师97人，小学教师1022人，初中教师445人，高中教师311人，进修校教师23人。全县普通小学在校学生9272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年各类教育发展情况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单位：人</w:t>
      </w:r>
    </w:p>
    <w:tbl>
      <w:tblPr>
        <w:tblStyle w:val="4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620"/>
        <w:gridCol w:w="540"/>
        <w:gridCol w:w="1440"/>
        <w:gridCol w:w="360"/>
        <w:gridCol w:w="1440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指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生</w:t>
            </w:r>
          </w:p>
        </w:tc>
        <w:tc>
          <w:tcPr>
            <w:tcW w:w="18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在校生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中等职业教育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76</w:t>
            </w:r>
          </w:p>
        </w:tc>
        <w:tc>
          <w:tcPr>
            <w:tcW w:w="54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164</w:t>
            </w:r>
          </w:p>
        </w:tc>
        <w:tc>
          <w:tcPr>
            <w:tcW w:w="36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53</w:t>
            </w:r>
          </w:p>
        </w:tc>
        <w:tc>
          <w:tcPr>
            <w:tcW w:w="402" w:type="dxa"/>
            <w:tcBorders>
              <w:top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普通高中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744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初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中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1275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小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9272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1831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学前教育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1548</w:t>
            </w:r>
          </w:p>
        </w:tc>
        <w:tc>
          <w:tcPr>
            <w:tcW w:w="4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特殊教育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全年专利申请量为0项，全年全县共签订各类技术合同3项，技术合同成交总额800万元。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  <w:t>九、文化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  <w:t>卫生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艺术表演团7个，文化馆1个，公共图书馆1个，公共图书馆藏书量14.7万册，档案馆1个。全县电视台1座，电视综合人口覆盖率达到85%。全县有线电视用户达到2.6万户，其中数字信号用户7000万户。全县共建成村级文化活动场所254个，群众舞台120个，乡镇文化站14个，农家书屋254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年末全县共有医院、卫生院18个，妇幼保健机构 1个，疾病预防控制中心（防疫站）1个。卫生技术人员1031人。全县新型农村合作医疗覆盖率 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年末全县共有体育馆1个，占地面积16427平方米；田径场1个；新建鹏飞篮球主题公园（包括网球场、篮球场、门球场在内）1个，占地面积53350平方米。全年举办各类赛事活动60余场，累计观众达到200万余人次。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right="0" w:rightChars="0"/>
        <w:jc w:val="center"/>
        <w:textAlignment w:val="auto"/>
        <w:outlineLvl w:val="9"/>
        <w:rPr>
          <w:rFonts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  <w:shd w:val="clear" w:color="auto" w:fill="auto"/>
        </w:rPr>
        <w:t>十、人口、人民生活和社会保障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根据山西省1%人口抽样调查，年末全县总人口164542人，其中：男性85703人，女性78839人，男女性别比（女=100）108.71，城镇人口79754人，乡村人口84788人，城镇化率48.47%，人口自然增长率0.29‰。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根据城乡住户一体化调查抽样显示，城镇居民人均可支配收入37113元，比上年增长6.9%；农村居民人均可支配收入16443元，比上年增长9%。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</w:pPr>
      <w:r>
        <w:drawing>
          <wp:inline distT="0" distB="0" distL="114300" distR="114300">
            <wp:extent cx="5271135" cy="2545715"/>
            <wp:effectExtent l="0" t="0" r="5715" b="6985"/>
            <wp:docPr id="15423" name="Chart 10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444750"/>
            <wp:effectExtent l="0" t="0" r="0" b="0"/>
            <wp:docPr id="1439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7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 xml:space="preserve"> 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15年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-201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年城乡居民生活改善情况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</w:p>
    <w:tbl>
      <w:tblPr>
        <w:tblStyle w:val="4"/>
        <w:tblW w:w="8803" w:type="dxa"/>
        <w:tblInd w:w="-23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716"/>
        <w:gridCol w:w="990"/>
        <w:gridCol w:w="995"/>
        <w:gridCol w:w="1079"/>
        <w:gridCol w:w="1079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指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 标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城镇居民人均可支配收入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28500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30438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32507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34718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37113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农村居民人均纯收入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11900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12745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13714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15085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16443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年末城乡居民养老保险人数为83598人，参加城镇职工基本医疗保险人数为23227人，参加城乡居民基本医疗保险126433人，参加企业养老保险人数14129人，参加城镇失业保险人数为21380人。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全年城镇居民最低生活保障人数771人，农村居民最低生活保障人数5307人，农村特殊困难人数1478人，城市特殊困难人数6人。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十一、城市建设、资源、环境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年末全县城市建成区面积 5.54平方公里。年末建成区绿化面积227.52万平方米，建成区绿化覆盖率41.77%。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年末城市交通运营车辆6辆，出租汽车75辆。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全县共有公园10个，公园绿地总面积41.88万平方米。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全年城市供水总量187万吨，全县集中供热面积365.9万平方米，其中住宅供热面积205.2万平方米。全年污水处理率95.65%。生活垃圾无害化处理率达到100%。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农田灌溉有效面积全年完成3.58万亩，基本农田保护面积实际完成27.88万亩。完成水土流失综合治理9.5万亩。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年末全县森林面积218.6万亩，森林覆盖率56.7%。全县全年营造林合格面积5.39万亩。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B0F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全年全县工业固体废弃物综合利用率100%，全年全县空气质量Ⅱ级以上天数达276天，空气质量优良天数比例是75.6%，全县集中式饮用水水源水质达标率为100%，地表水考核断面达标率为100%。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公报注释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1.本公报部分数据为初步统计数据。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2.地区生产总值、各产业增加值绝对数按现价计算，增长速度按不变价格计算。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3.所有增长或下降速度均为同上年相比较。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5.固定资产投资数据按新统计口径计算。</w:t>
      </w:r>
    </w:p>
    <w:p>
      <w:pPr>
        <w:rPr>
          <w:color w:val="0000FF"/>
          <w:shd w:val="clear" w:color="auto" w:fill="auto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03077"/>
    <w:rsid w:val="1B771664"/>
    <w:rsid w:val="48D91469"/>
    <w:rsid w:val="496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p241"/>
    <w:qFormat/>
    <w:uiPriority w:val="0"/>
    <w:rPr>
      <w:b/>
      <w:bCs/>
      <w:color w:val="98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18&#26609;&#29366;&#22270;%20&#20462;&#25913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ell\Desktop\2018&#26609;&#29366;&#22270;%20&#20462;&#2591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18&#26609;&#29366;&#22270;%20&#20462;&#25913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18&#26609;&#29366;&#22270;%20&#20462;&#2591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18&#26609;&#29366;&#22270;%20&#20462;&#25913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18&#26609;&#29366;&#22270;%20&#20462;&#25913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18&#26609;&#29366;&#22270;%20&#20462;&#2591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</a:t>
            </a:r>
            <a:r>
              <a:rPr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地区生产总值</a:t>
            </a: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58674698795181"/>
          <c:y val="0.0384415584415584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8625"/>
          <c:y val="0.2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"总量"</c:f>
              <c:strCache>
                <c:ptCount val="1"/>
                <c:pt idx="0">
                  <c:v>总量</c:v>
                </c:pt>
              </c:strCache>
            </c:strRef>
          </c:tx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修改.xls]工业产值 (2)'!$A$2:$A$6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修改.xls]工业产值 (2)'!$B$2:$B$6</c:f>
              <c:numCache>
                <c:formatCode>General</c:formatCode>
                <c:ptCount val="5"/>
                <c:pt idx="0">
                  <c:v>87.5</c:v>
                </c:pt>
                <c:pt idx="1">
                  <c:v>102.9</c:v>
                </c:pt>
                <c:pt idx="2">
                  <c:v>136.3</c:v>
                </c:pt>
                <c:pt idx="3">
                  <c:v>122.97</c:v>
                </c:pt>
                <c:pt idx="4">
                  <c:v>129.3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820939646"/>
        <c:axId val="278134576"/>
      </c:barChart>
      <c:lineChart>
        <c:grouping val="standard"/>
        <c:varyColors val="0"/>
        <c:ser>
          <c:idx val="0"/>
          <c:order val="1"/>
          <c:tx>
            <c:strRef>
              <c:f>"增速"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01204819277108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24096385542168"/>
                  <c:y val="-0.002337662337662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78313253012048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4578313253012"/>
                  <c:y val="-0.01714285714285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13253012048193"/>
                  <c:y val="-0.002337662337662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修改.xls]工业产值 (2)'!$A$2:$A$6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修改.xls]工业产值 (2)'!$C$2:$C$6</c:f>
              <c:numCache>
                <c:formatCode>General</c:formatCode>
                <c:ptCount val="5"/>
                <c:pt idx="0">
                  <c:v>-0.9</c:v>
                </c:pt>
                <c:pt idx="1">
                  <c:v>4.5</c:v>
                </c:pt>
                <c:pt idx="2">
                  <c:v>10.3</c:v>
                </c:pt>
                <c:pt idx="3">
                  <c:v>7.7</c:v>
                </c:pt>
                <c:pt idx="4">
                  <c:v>7.4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3863151"/>
        <c:axId val="908500923"/>
      </c:lineChart>
      <c:catAx>
        <c:axId val="82093964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78134576"/>
        <c:crosses val="autoZero"/>
        <c:auto val="0"/>
        <c:lblAlgn val="ctr"/>
        <c:lblOffset val="100"/>
        <c:noMultiLvlLbl val="0"/>
      </c:catAx>
      <c:valAx>
        <c:axId val="27813457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867702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20939646"/>
        <c:crosses val="autoZero"/>
        <c:crossBetween val="between"/>
      </c:valAx>
      <c:catAx>
        <c:axId val="673863151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08500923"/>
        <c:crosses val="autoZero"/>
        <c:auto val="0"/>
        <c:lblAlgn val="ctr"/>
        <c:lblOffset val="100"/>
        <c:noMultiLvlLbl val="0"/>
      </c:catAx>
      <c:valAx>
        <c:axId val="908500923"/>
        <c:scaling>
          <c:orientation val="minMax"/>
          <c:max val="20"/>
          <c:min val="-5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/>
                  </a:solidFill>
                  <a:latin typeface="Arial" panose="020B0604020202020204" pitchFamily="7" charset="0"/>
                  <a:ea typeface="Arial" panose="020B0604020202020204" pitchFamily="7" charset="0"/>
                  <a:cs typeface="Arial" panose="020B0604020202020204" pitchFamily="7" charset="0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73863151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沁源县近年来财政总收入完成情况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47921407930989"/>
          <c:y val="0.036688504660272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94142980189492"/>
          <c:y val="0.163447251114413"/>
          <c:w val="0.739104220499569"/>
          <c:h val="0.7522288261515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.00496017571432975"/>
                  <c:y val="0.04087204029254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29198966408271"/>
                  <c:y val="0.03385905327955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修改.xls]十二五成果展1'!$A$2:$A$6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修改.xls]十二五成果展1'!$B$2:$B$6</c:f>
              <c:numCache>
                <c:formatCode>General</c:formatCode>
                <c:ptCount val="5"/>
                <c:pt idx="0">
                  <c:v>16.5</c:v>
                </c:pt>
                <c:pt idx="1">
                  <c:v>16.42</c:v>
                </c:pt>
                <c:pt idx="2">
                  <c:v>30.43</c:v>
                </c:pt>
                <c:pt idx="3">
                  <c:v>35.19</c:v>
                </c:pt>
                <c:pt idx="4">
                  <c:v>37.52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61457212"/>
        <c:axId val="69730716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0885388796904075"/>
                  <c:y val="-0.00063700044383548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31365512140594"/>
                  <c:y val="-0.00233766233766234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645994832041344"/>
                  <c:y val="-0.013930163447251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576702722843702"/>
                  <c:y val="-0.02167297041739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16367786079757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修改.xls]十二五成果展1'!$A$2:$A$6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修改.xls]十二五成果展1'!$C$2:$C$6</c:f>
              <c:numCache>
                <c:formatCode>General</c:formatCode>
                <c:ptCount val="5"/>
                <c:pt idx="0">
                  <c:v>-19.05</c:v>
                </c:pt>
                <c:pt idx="1">
                  <c:v>-0.61</c:v>
                </c:pt>
                <c:pt idx="2">
                  <c:v>85.36</c:v>
                </c:pt>
                <c:pt idx="3">
                  <c:v>15.6</c:v>
                </c:pt>
                <c:pt idx="4">
                  <c:v>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9960855"/>
        <c:axId val="448386579"/>
      </c:lineChart>
      <c:catAx>
        <c:axId val="76145721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97307162"/>
        <c:crosses val="autoZero"/>
        <c:auto val="0"/>
        <c:lblAlgn val="ctr"/>
        <c:lblOffset val="100"/>
        <c:noMultiLvlLbl val="0"/>
      </c:catAx>
      <c:valAx>
        <c:axId val="69730716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61457212"/>
        <c:crosses val="autoZero"/>
        <c:crossBetween val="between"/>
      </c:valAx>
      <c:catAx>
        <c:axId val="899960855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48386579"/>
        <c:crosses val="autoZero"/>
        <c:auto val="0"/>
        <c:lblAlgn val="ctr"/>
        <c:lblOffset val="100"/>
        <c:noMultiLvlLbl val="0"/>
      </c:catAx>
      <c:valAx>
        <c:axId val="448386579"/>
        <c:scaling>
          <c:orientation val="minMax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917312661499"/>
              <c:y val="0.045505200594353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99960855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沁源县近年来工业增加值完成情况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38026270612146"/>
          <c:y val="0.058907499186050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修改.xls]工业产值'!$A$2:$A$6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修改.xls]工业产值'!$B$2:$B$6</c:f>
              <c:numCache>
                <c:formatCode>General</c:formatCode>
                <c:ptCount val="5"/>
                <c:pt idx="0">
                  <c:v>57.1</c:v>
                </c:pt>
                <c:pt idx="1">
                  <c:v>68.9</c:v>
                </c:pt>
                <c:pt idx="2">
                  <c:v>104</c:v>
                </c:pt>
                <c:pt idx="3">
                  <c:v>82.43</c:v>
                </c:pt>
                <c:pt idx="4">
                  <c:v>83.52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69031502"/>
        <c:axId val="45640111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13239368750753"/>
                  <c:y val="-0.009870129870129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1323936875075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566196843753765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4697024454885"/>
                  <c:y val="0.01454545454545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686664257318395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修改.xls]工业产值'!$A$2:$A$6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修改.xls]工业产值'!$C$2:$C$6</c:f>
              <c:numCache>
                <c:formatCode>General</c:formatCode>
                <c:ptCount val="5"/>
                <c:pt idx="0">
                  <c:v>-3.8</c:v>
                </c:pt>
                <c:pt idx="1">
                  <c:v>2.52</c:v>
                </c:pt>
                <c:pt idx="2">
                  <c:v>15.55</c:v>
                </c:pt>
                <c:pt idx="3">
                  <c:v>8.52</c:v>
                </c:pt>
                <c:pt idx="4">
                  <c:v>9.46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5717159"/>
        <c:axId val="23544175"/>
      </c:lineChart>
      <c:catAx>
        <c:axId val="6903150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5640111"/>
        <c:crosses val="autoZero"/>
        <c:auto val="0"/>
        <c:lblAlgn val="ctr"/>
        <c:lblOffset val="100"/>
        <c:noMultiLvlLbl val="0"/>
      </c:catAx>
      <c:valAx>
        <c:axId val="45640111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867702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9031502"/>
        <c:crosses val="autoZero"/>
        <c:crossBetween val="between"/>
      </c:valAx>
      <c:catAx>
        <c:axId val="825717159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3544175"/>
        <c:crosses val="autoZero"/>
        <c:auto val="0"/>
        <c:lblAlgn val="ctr"/>
        <c:lblOffset val="100"/>
        <c:noMultiLvlLbl val="0"/>
      </c:catAx>
      <c:valAx>
        <c:axId val="23544175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25717159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沁源县近年来固定资产投资完成情况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45433406606867"/>
          <c:y val="0.030434468038924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085"/>
          <c:w val="0.74375"/>
          <c:h val="0.6827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修改.xls]固定资产投资'!$A$2:$A$6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修改.xls]固定资产投资'!$B$2:$B$6</c:f>
              <c:numCache>
                <c:formatCode>General</c:formatCode>
                <c:ptCount val="5"/>
                <c:pt idx="0">
                  <c:v>107</c:v>
                </c:pt>
                <c:pt idx="1">
                  <c:v>108.36</c:v>
                </c:pt>
                <c:pt idx="2">
                  <c:v>50.1</c:v>
                </c:pt>
                <c:pt idx="3">
                  <c:v>55.7</c:v>
                </c:pt>
                <c:pt idx="4">
                  <c:v>60.5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33414871"/>
        <c:axId val="232564561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1323936875075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80701120346946"/>
                  <c:y val="-0.05844155844155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59016985905313"/>
                  <c:y val="0.01220779220779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4697024454885"/>
                  <c:y val="-0.02441558441558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2408143597157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修改.xls]固定资产投资'!$A$2:$A$6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修改.xls]固定资产投资'!$C$2:$C$6</c:f>
              <c:numCache>
                <c:formatCode>General</c:formatCode>
                <c:ptCount val="5"/>
                <c:pt idx="0">
                  <c:v>17.7</c:v>
                </c:pt>
                <c:pt idx="1">
                  <c:v>1.3</c:v>
                </c:pt>
                <c:pt idx="2">
                  <c:v>7.8</c:v>
                </c:pt>
                <c:pt idx="3">
                  <c:v>11.2</c:v>
                </c:pt>
                <c:pt idx="4">
                  <c:v>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313349"/>
        <c:axId val="578600030"/>
      </c:lineChart>
      <c:catAx>
        <c:axId val="53341487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32564561"/>
        <c:crosses val="autoZero"/>
        <c:auto val="0"/>
        <c:lblAlgn val="ctr"/>
        <c:lblOffset val="100"/>
        <c:noMultiLvlLbl val="0"/>
      </c:catAx>
      <c:valAx>
        <c:axId val="232564561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258743744077871"/>
              <c:y val="0.108644748839369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33414871"/>
        <c:crosses val="autoZero"/>
        <c:crossBetween val="between"/>
      </c:valAx>
      <c:catAx>
        <c:axId val="239313349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78600030"/>
        <c:crosses val="autoZero"/>
        <c:auto val="0"/>
        <c:lblAlgn val="ctr"/>
        <c:lblOffset val="100"/>
        <c:noMultiLvlLbl val="0"/>
      </c:catAx>
      <c:valAx>
        <c:axId val="578600030"/>
        <c:scaling>
          <c:orientation val="minMax"/>
          <c:max val="8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0429115879921"/>
              <c:y val="0.116837748839369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39313349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沁源县近年来社会消费品零售总额完成情况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75920805282636"/>
          <c:y val="0.029108996852729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2"/>
          <c:y val="0.20275"/>
          <c:w val="0.7635"/>
          <c:h val="0.68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修改.xls]社会消费品零售总额'!$A$2:$A$6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修改.xls]社会消费品零售总额'!$B$2:$B$6</c:f>
              <c:numCache>
                <c:formatCode>General</c:formatCode>
                <c:ptCount val="5"/>
                <c:pt idx="0">
                  <c:v>21.4</c:v>
                </c:pt>
                <c:pt idx="1">
                  <c:v>23.36</c:v>
                </c:pt>
                <c:pt idx="2">
                  <c:v>25.25</c:v>
                </c:pt>
                <c:pt idx="3">
                  <c:v>27.91</c:v>
                </c:pt>
                <c:pt idx="4">
                  <c:v>29.95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66917543"/>
        <c:axId val="949709623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2408143597157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34923503192386"/>
                  <c:y val="-0.009870129870129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903505601734731"/>
                  <c:y val="0.01454545454545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0119262739429"/>
                  <c:y val="0.007272727272727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2397301529936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修改.xls]社会消费品零售总额'!$A$2:$A$6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修改.xls]社会消费品零售总额'!$C$2:$C$6</c:f>
              <c:numCache>
                <c:formatCode>General</c:formatCode>
                <c:ptCount val="5"/>
                <c:pt idx="0">
                  <c:v>5</c:v>
                </c:pt>
                <c:pt idx="1">
                  <c:v>9.2</c:v>
                </c:pt>
                <c:pt idx="2">
                  <c:v>8.1</c:v>
                </c:pt>
                <c:pt idx="3">
                  <c:v>10.5</c:v>
                </c:pt>
                <c:pt idx="4">
                  <c:v>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9097055"/>
        <c:axId val="817002473"/>
      </c:lineChart>
      <c:catAx>
        <c:axId val="46691754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49709623"/>
        <c:crosses val="autoZero"/>
        <c:auto val="0"/>
        <c:lblAlgn val="ctr"/>
        <c:lblOffset val="100"/>
        <c:noMultiLvlLbl val="0"/>
      </c:catAx>
      <c:valAx>
        <c:axId val="94970962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158352325581395"/>
              <c:y val="0.0768107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66917543"/>
        <c:crosses val="autoZero"/>
        <c:crossBetween val="between"/>
      </c:valAx>
      <c:catAx>
        <c:axId val="429097055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17002473"/>
        <c:crosses val="autoZero"/>
        <c:auto val="0"/>
        <c:lblAlgn val="ctr"/>
        <c:lblOffset val="100"/>
        <c:noMultiLvlLbl val="0"/>
      </c:catAx>
      <c:valAx>
        <c:axId val="817002473"/>
        <c:scaling>
          <c:orientation val="minMax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5274353574505"/>
              <c:y val="0.10318223862581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29097055"/>
        <c:crosses val="max"/>
        <c:crossBetween val="between"/>
        <c:majorUnit val="5"/>
      </c:valAx>
      <c:spPr>
        <a:noFill/>
        <a:ln w="12700">
          <a:solidFill>
            <a:srgbClr val="80808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沁源近年来城镇居民人均可支配收入完成情况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81543508380937"/>
          <c:y val="0.0651325832941432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修改.xls]城镇居民人均可支配收入'!$A$2:$A$6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修改.xls]城镇居民人均可支配收入'!$B$2:$B$6</c:f>
              <c:numCache>
                <c:formatCode>General</c:formatCode>
                <c:ptCount val="5"/>
                <c:pt idx="0">
                  <c:v>28500</c:v>
                </c:pt>
                <c:pt idx="1">
                  <c:v>30438</c:v>
                </c:pt>
                <c:pt idx="2">
                  <c:v>32507</c:v>
                </c:pt>
                <c:pt idx="3">
                  <c:v>34718</c:v>
                </c:pt>
                <c:pt idx="4">
                  <c:v>37113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29638651"/>
        <c:axId val="514222308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03589928924226"/>
                  <c:y val="-0.02909090909090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1543187567763"/>
                  <c:y val="-0.02935064935064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2527406336586"/>
                  <c:y val="-0.02675324675324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34923503192386"/>
                  <c:y val="-0.02935064935064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674617515961932"/>
                  <c:y val="-0.02441558441558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修改.xls]城镇居民人均可支配收入'!$A$2:$A$6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修改.xls]城镇居民人均可支配收入'!$C$2:$C$6</c:f>
              <c:numCache>
                <c:formatCode>General</c:formatCode>
                <c:ptCount val="5"/>
                <c:pt idx="0">
                  <c:v>6.8</c:v>
                </c:pt>
                <c:pt idx="1">
                  <c:v>6.8</c:v>
                </c:pt>
                <c:pt idx="2">
                  <c:v>6.8</c:v>
                </c:pt>
                <c:pt idx="3">
                  <c:v>6.8</c:v>
                </c:pt>
                <c:pt idx="4">
                  <c:v>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521463"/>
        <c:axId val="309950666"/>
      </c:lineChart>
      <c:catAx>
        <c:axId val="72963865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14222308"/>
        <c:crosses val="autoZero"/>
        <c:auto val="0"/>
        <c:lblAlgn val="ctr"/>
        <c:lblOffset val="100"/>
        <c:noMultiLvlLbl val="0"/>
      </c:catAx>
      <c:valAx>
        <c:axId val="51422230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411710198105082"/>
              <c:y val="0.11217004781801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29638651"/>
        <c:crosses val="autoZero"/>
        <c:crossBetween val="between"/>
      </c:valAx>
      <c:catAx>
        <c:axId val="91752146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09950666"/>
        <c:crosses val="autoZero"/>
        <c:auto val="0"/>
        <c:lblAlgn val="ctr"/>
        <c:lblOffset val="100"/>
        <c:noMultiLvlLbl val="0"/>
      </c:catAx>
      <c:valAx>
        <c:axId val="309950666"/>
        <c:scaling>
          <c:orientation val="minMax"/>
          <c:max val="14"/>
          <c:min val="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50347853574505"/>
              <c:y val="0.10496673862581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17521463"/>
        <c:crosses val="max"/>
        <c:crossBetween val="between"/>
        <c:majorUnit val="2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沁源近年来农村居民人均可支配收入完成情况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84668389319552"/>
          <c:y val="0.0222841225626741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245478036175711"/>
                  <c:y val="0.00557103064066852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修改.xls]农村居民人均可支配收入'!$A$2:$A$6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修改.xls]农村居民人均可支配收入'!$B$2:$B$6</c:f>
              <c:numCache>
                <c:formatCode>General</c:formatCode>
                <c:ptCount val="5"/>
                <c:pt idx="0">
                  <c:v>11900</c:v>
                </c:pt>
                <c:pt idx="1">
                  <c:v>12745</c:v>
                </c:pt>
                <c:pt idx="2">
                  <c:v>13714</c:v>
                </c:pt>
                <c:pt idx="3">
                  <c:v>15085</c:v>
                </c:pt>
                <c:pt idx="4">
                  <c:v>16443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997846748"/>
        <c:axId val="676788097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25286110107216"/>
                  <c:y val="-0.02441558441558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13239368750753"/>
                  <c:y val="-0.02909090909090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408143597157"/>
                  <c:y val="0.01194805194805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34923503192386"/>
                  <c:y val="-0.01948051948051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13239368750753"/>
                  <c:y val="0.007272727272727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'[2018柱状图 修改.xls]农村居民人均可支配收入'!$A$2:$A$6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'[2018柱状图 修改.xls]农村居民人均可支配收入'!$C$2:$C$6</c:f>
              <c:numCache>
                <c:formatCode>General</c:formatCode>
                <c:ptCount val="5"/>
                <c:pt idx="0">
                  <c:v>8.7</c:v>
                </c:pt>
                <c:pt idx="1">
                  <c:v>7.1</c:v>
                </c:pt>
                <c:pt idx="2">
                  <c:v>7.6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1062013"/>
        <c:axId val="607387486"/>
      </c:lineChart>
      <c:catAx>
        <c:axId val="99784674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76788097"/>
        <c:crosses val="autoZero"/>
        <c:auto val="0"/>
        <c:lblAlgn val="ctr"/>
        <c:lblOffset val="100"/>
        <c:noMultiLvlLbl val="0"/>
      </c:catAx>
      <c:valAx>
        <c:axId val="67678809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t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96990198105082"/>
              <c:y val="0.10387204781801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97846748"/>
        <c:crosses val="autoZero"/>
        <c:crossBetween val="between"/>
      </c:valAx>
      <c:catAx>
        <c:axId val="67106201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07387486"/>
        <c:crosses val="autoZero"/>
        <c:auto val="0"/>
        <c:lblAlgn val="ctr"/>
        <c:lblOffset val="100"/>
        <c:noMultiLvlLbl val="0"/>
      </c:catAx>
      <c:valAx>
        <c:axId val="607387486"/>
        <c:scaling>
          <c:orientation val="minMax"/>
          <c:max val="25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50347853574505"/>
              <c:y val="0.0932112386258125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71062013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0.0348837209302326</cdr:x>
      <cdr:y>0.0304606240713224</cdr:y>
    </cdr:from>
    <cdr:to>
      <cdr:x>0.104651162790698</cdr:x>
      <cdr:y>0.0917533432392273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57175" y="104140"/>
          <a:ext cx="514350" cy="2095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p>
          <a:r>
            <a:rPr lang="zh-CN" altLang="en-US" sz="800"/>
            <a:t>亿元</a:t>
          </a:r>
          <a:endParaRPr lang="zh-CN" altLang="en-US" sz="8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2020-04-15T08:14:00Z</dcterms:created>
  <dc:creator>dell</dc:creator>
  <cp:lastModifiedBy>dell</cp:lastModifiedBy>
  <dcterms:modified xsi:type="dcterms:W3CDTF">2020-04-15T08:19:20Z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