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60" w:afterAutospacing="0" w:line="240" w:lineRule="exact"/>
        <w:ind w:left="0" w:right="0" w:firstLine="0"/>
        <w:jc w:val="center"/>
        <w:textAlignment w:val="auto"/>
        <w:rPr>
          <w:rFonts w:hint="eastAsia" w:ascii="宋体" w:hAnsi="宋体" w:eastAsia="宋体" w:cs="宋体"/>
          <w:i w:val="0"/>
          <w:iCs w:val="0"/>
          <w:caps w:val="0"/>
          <w:color w:val="444444"/>
          <w:spacing w:val="0"/>
          <w:sz w:val="44"/>
          <w:szCs w:val="44"/>
          <w:shd w:val="clear" w:color="auto" w:fill="FFFFFF"/>
          <w:lang w:val="en-US" w:eastAsia="zh-CN"/>
        </w:rPr>
      </w:pPr>
      <w:r>
        <w:rPr>
          <w:rFonts w:hint="eastAsia" w:ascii="宋体" w:hAnsi="宋体" w:eastAsia="宋体" w:cs="宋体"/>
          <w:i w:val="0"/>
          <w:iCs w:val="0"/>
          <w:caps w:val="0"/>
          <w:color w:val="444444"/>
          <w:spacing w:val="0"/>
          <w:sz w:val="44"/>
          <w:szCs w:val="44"/>
          <w:shd w:val="clear" w:color="auto" w:fill="FFFFFF"/>
        </w:rPr>
        <w:t>沁源县</w:t>
      </w:r>
      <w:r>
        <w:rPr>
          <w:rFonts w:hint="eastAsia" w:ascii="宋体" w:hAnsi="宋体" w:eastAsia="宋体" w:cs="宋体"/>
          <w:i w:val="0"/>
          <w:iCs w:val="0"/>
          <w:caps w:val="0"/>
          <w:color w:val="444444"/>
          <w:spacing w:val="0"/>
          <w:sz w:val="44"/>
          <w:szCs w:val="44"/>
          <w:shd w:val="clear" w:color="auto" w:fill="FFFFFF"/>
          <w:lang w:val="en-US" w:eastAsia="zh-CN"/>
        </w:rPr>
        <w:t>残联</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60" w:afterAutospacing="0" w:line="240" w:lineRule="exact"/>
        <w:ind w:left="0" w:right="0" w:firstLine="0"/>
        <w:jc w:val="center"/>
        <w:textAlignment w:val="auto"/>
        <w:rPr>
          <w:rFonts w:hint="eastAsia" w:ascii="宋体" w:hAnsi="宋体" w:eastAsia="宋体" w:cs="宋体"/>
          <w:i w:val="0"/>
          <w:iCs w:val="0"/>
          <w:caps w:val="0"/>
          <w:color w:val="444444"/>
          <w:spacing w:val="0"/>
          <w:sz w:val="44"/>
          <w:szCs w:val="44"/>
        </w:rPr>
      </w:pPr>
      <w:r>
        <w:rPr>
          <w:rFonts w:hint="eastAsia" w:ascii="宋体" w:hAnsi="宋体" w:eastAsia="宋体" w:cs="宋体"/>
          <w:i w:val="0"/>
          <w:iCs w:val="0"/>
          <w:caps w:val="0"/>
          <w:color w:val="444444"/>
          <w:spacing w:val="0"/>
          <w:sz w:val="44"/>
          <w:szCs w:val="44"/>
          <w:shd w:val="clear" w:color="auto" w:fill="FFFFFF"/>
        </w:rPr>
        <w:t>2021年政府信息公</w:t>
      </w:r>
      <w:bookmarkStart w:id="0" w:name="_GoBack"/>
      <w:bookmarkEnd w:id="0"/>
      <w:r>
        <w:rPr>
          <w:rFonts w:hint="eastAsia" w:ascii="宋体" w:hAnsi="宋体" w:eastAsia="宋体" w:cs="宋体"/>
          <w:i w:val="0"/>
          <w:iCs w:val="0"/>
          <w:caps w:val="0"/>
          <w:color w:val="444444"/>
          <w:spacing w:val="0"/>
          <w:sz w:val="44"/>
          <w:szCs w:val="44"/>
          <w:shd w:val="clear" w:color="auto" w:fill="FFFFFF"/>
        </w:rPr>
        <w:t>开工作年度报告</w:t>
      </w:r>
    </w:p>
    <w:p>
      <w:pPr>
        <w:pStyle w:val="3"/>
        <w:widowControl/>
        <w:jc w:val="center"/>
        <w:rPr>
          <w:rFonts w:hint="eastAsia" w:ascii="宋体" w:hAnsi="宋体" w:cs="宋体"/>
          <w:b/>
          <w:bCs/>
          <w:sz w:val="44"/>
          <w:szCs w:val="44"/>
        </w:rPr>
      </w:pPr>
    </w:p>
    <w:p>
      <w:pPr>
        <w:pStyle w:val="3"/>
        <w:widowControl/>
        <w:ind w:firstLine="640" w:firstLineChars="200"/>
        <w:rPr>
          <w:rFonts w:hint="eastAsia" w:ascii="仿宋" w:hAnsi="仿宋" w:eastAsia="仿宋" w:cs="仿宋"/>
          <w:sz w:val="32"/>
          <w:szCs w:val="32"/>
        </w:rPr>
      </w:pPr>
      <w:r>
        <w:rPr>
          <w:rFonts w:hint="eastAsia" w:ascii="仿宋" w:hAnsi="仿宋" w:eastAsia="仿宋" w:cs="仿宋"/>
          <w:sz w:val="32"/>
          <w:szCs w:val="32"/>
        </w:rPr>
        <w:t>根据《中华人民共和国政府信息公开条例》（以下简称“条例”）和《山西省政府信息公开实施办法》（以下简称“办法”）等文件精神，现公布2021年度</w:t>
      </w:r>
      <w:r>
        <w:rPr>
          <w:rFonts w:hint="eastAsia" w:ascii="仿宋" w:hAnsi="仿宋" w:eastAsia="仿宋" w:cs="仿宋"/>
          <w:sz w:val="32"/>
          <w:szCs w:val="32"/>
          <w:lang w:val="en-US" w:eastAsia="zh-CN"/>
        </w:rPr>
        <w:t>沁源县残联</w:t>
      </w:r>
      <w:r>
        <w:rPr>
          <w:rFonts w:hint="eastAsia" w:ascii="仿宋" w:hAnsi="仿宋" w:eastAsia="仿宋" w:cs="仿宋"/>
          <w:sz w:val="32"/>
          <w:szCs w:val="32"/>
        </w:rPr>
        <w:t>信息公开工作年度报告。本年度报告统计数据的期限为2021年1月1日至12月31日。</w:t>
      </w:r>
    </w:p>
    <w:p>
      <w:pPr>
        <w:pStyle w:val="3"/>
        <w:widowControl/>
        <w:ind w:firstLine="640" w:firstLineChars="200"/>
        <w:rPr>
          <w:rFonts w:hint="eastAsia" w:ascii="仿宋" w:hAnsi="仿宋" w:eastAsia="仿宋" w:cs="仿宋"/>
          <w:sz w:val="32"/>
          <w:szCs w:val="32"/>
        </w:rPr>
      </w:pPr>
      <w:r>
        <w:rPr>
          <w:rFonts w:hint="eastAsia" w:ascii="仿宋" w:hAnsi="仿宋" w:eastAsia="仿宋" w:cs="仿宋"/>
          <w:sz w:val="32"/>
          <w:szCs w:val="32"/>
        </w:rPr>
        <w:t>根据《中华人民共和国政府信息公开条例》要求，我单位认真编制政府信息公开年度报告，报告内容包括概述、主动公开政府信息情况、依申请公开政府信息办理情况、政府信息公开的收费及减免情况、因政府信息公开申请行政复议和提起行政诉讼的情况、存在的主要问题和改进情况，并附相关的说明和指标统计表。现将我会2021年度政府信息公开工作报告如下：</w:t>
      </w:r>
    </w:p>
    <w:p>
      <w:pPr>
        <w:pStyle w:val="3"/>
        <w:widowControl/>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一、概述</w:t>
      </w:r>
    </w:p>
    <w:p>
      <w:pPr>
        <w:pStyle w:val="3"/>
        <w:widowControl/>
        <w:rPr>
          <w:rFonts w:hint="eastAsia" w:ascii="仿宋" w:hAnsi="仿宋" w:eastAsia="仿宋" w:cs="仿宋"/>
          <w:sz w:val="32"/>
          <w:szCs w:val="32"/>
        </w:rPr>
      </w:pPr>
      <w:r>
        <w:rPr>
          <w:rFonts w:hint="eastAsia" w:ascii="仿宋" w:hAnsi="仿宋" w:eastAsia="仿宋" w:cs="仿宋"/>
          <w:sz w:val="32"/>
          <w:szCs w:val="32"/>
        </w:rPr>
        <w:t>　　2021年我单位政府信息公开工作坚持以党的十九届六中全会精神为指导，认真贯彻实施《中华人民共和国政府信息公开条例》，把政府信息公开档案工作围绕中心、服务大局、科学发展的重要内容，贯彻公正、公平、便民、及时、准确的政府信息公开原则，完善各项制度，规范公开载体，更好地为公民、法人和其他组织提供政府信息公开服务。我单位认真做好政府信息公开日常工作，主要包括：积极做好主动公开政府信息的维护、更新和报送工作；认真做好政府信息依申请公开工作；按规范编制并及时报送信息公开年度报告。</w:t>
      </w:r>
      <w:r>
        <w:rPr>
          <w:rFonts w:hint="eastAsia" w:ascii="仿宋_GB2312" w:eastAsia="仿宋_GB2312"/>
          <w:color w:val="000000"/>
          <w:sz w:val="32"/>
          <w:szCs w:val="32"/>
          <w:shd w:val="clear" w:color="auto" w:fill="FFFFFF"/>
        </w:rPr>
        <w:t>全年在</w:t>
      </w:r>
      <w:r>
        <w:rPr>
          <w:rFonts w:hint="eastAsia" w:ascii="仿宋" w:hAnsi="仿宋" w:eastAsia="仿宋" w:cs="仿宋"/>
          <w:sz w:val="32"/>
          <w:szCs w:val="32"/>
        </w:rPr>
        <w:t>政府门户网站发布信息18条，其中年度报告1条，工作动态17条。</w:t>
      </w:r>
    </w:p>
    <w:p>
      <w:pPr>
        <w:pStyle w:val="3"/>
        <w:widowControl/>
        <w:ind w:firstLine="321" w:firstLineChars="100"/>
        <w:rPr>
          <w:rFonts w:hint="eastAsia" w:ascii="仿宋" w:hAnsi="仿宋" w:eastAsia="仿宋" w:cs="仿宋"/>
          <w:b/>
          <w:bCs/>
          <w:sz w:val="32"/>
          <w:szCs w:val="32"/>
        </w:rPr>
      </w:pPr>
      <w:r>
        <w:rPr>
          <w:rFonts w:hint="eastAsia" w:ascii="仿宋" w:hAnsi="仿宋" w:eastAsia="仿宋" w:cs="仿宋"/>
          <w:b/>
          <w:bCs/>
          <w:sz w:val="32"/>
          <w:szCs w:val="32"/>
        </w:rPr>
        <w:t>二、主动公开政府信息情况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04" w:lineRule="atLeast"/>
        <w:ind w:left="0" w:right="0" w:firstLine="48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color="auto" w:fill="FFFFFF"/>
        </w:rPr>
        <w:fldChar w:fldCharType="begin"/>
      </w:r>
      <w:r>
        <w:rPr>
          <w:rFonts w:hint="eastAsia" w:ascii="宋体" w:hAnsi="宋体" w:eastAsia="宋体" w:cs="宋体"/>
          <w:i w:val="0"/>
          <w:iCs w:val="0"/>
          <w:caps w:val="0"/>
          <w:color w:val="333333"/>
          <w:spacing w:val="0"/>
          <w:sz w:val="24"/>
          <w:szCs w:val="24"/>
          <w:shd w:val="clear" w:color="auto" w:fill="FFFFFF"/>
        </w:rPr>
        <w:instrText xml:space="preserve">INCLUDEPICTURE \d "http://www.qinyuan.gov.cn/qyxxgk/zfxxgk/bmxxgk/xz/gdz/gknb_147048/202201/W020220128398815602957.png" \* MERGEFORMATINET </w:instrText>
      </w:r>
      <w:r>
        <w:rPr>
          <w:rFonts w:hint="eastAsia" w:ascii="宋体" w:hAnsi="宋体" w:eastAsia="宋体" w:cs="宋体"/>
          <w:i w:val="0"/>
          <w:iCs w:val="0"/>
          <w:caps w:val="0"/>
          <w:color w:val="333333"/>
          <w:spacing w:val="0"/>
          <w:sz w:val="24"/>
          <w:szCs w:val="24"/>
          <w:shd w:val="clear" w:color="auto" w:fill="FFFFFF"/>
        </w:rPr>
        <w:fldChar w:fldCharType="separate"/>
      </w:r>
      <w:r>
        <w:rPr>
          <w:rFonts w:hint="eastAsia" w:ascii="宋体" w:hAnsi="宋体" w:eastAsia="宋体" w:cs="宋体"/>
          <w:i w:val="0"/>
          <w:iCs w:val="0"/>
          <w:caps w:val="0"/>
          <w:color w:val="333333"/>
          <w:spacing w:val="0"/>
          <w:sz w:val="24"/>
          <w:szCs w:val="24"/>
          <w:shd w:val="clear" w:color="auto" w:fill="FFFFFF"/>
        </w:rPr>
        <w:drawing>
          <wp:inline distT="0" distB="0" distL="114300" distR="114300">
            <wp:extent cx="5086350" cy="3086100"/>
            <wp:effectExtent l="0" t="0" r="0" b="0"/>
            <wp:docPr id="2" name="图片 1" descr="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mage.png"/>
                    <pic:cNvPicPr>
                      <a:picLocks noChangeAspect="1"/>
                    </pic:cNvPicPr>
                  </pic:nvPicPr>
                  <pic:blipFill>
                    <a:blip r:embed="rId4"/>
                    <a:stretch>
                      <a:fillRect/>
                    </a:stretch>
                  </pic:blipFill>
                  <pic:spPr>
                    <a:xfrm>
                      <a:off x="0" y="0"/>
                      <a:ext cx="5086350" cy="3086100"/>
                    </a:xfrm>
                    <a:prstGeom prst="rect">
                      <a:avLst/>
                    </a:prstGeom>
                    <a:noFill/>
                    <a:ln>
                      <a:noFill/>
                    </a:ln>
                  </pic:spPr>
                </pic:pic>
              </a:graphicData>
            </a:graphic>
          </wp:inline>
        </w:drawing>
      </w:r>
      <w:r>
        <w:rPr>
          <w:rFonts w:hint="eastAsia" w:ascii="宋体" w:hAnsi="宋体" w:eastAsia="宋体" w:cs="宋体"/>
          <w:i w:val="0"/>
          <w:iCs w:val="0"/>
          <w:caps w:val="0"/>
          <w:color w:val="333333"/>
          <w:spacing w:val="0"/>
          <w:sz w:val="24"/>
          <w:szCs w:val="24"/>
          <w:shd w:val="clear" w:color="auto" w:fill="FFFFFF"/>
        </w:rPr>
        <w:fldChar w:fldCharType="end"/>
      </w:r>
    </w:p>
    <w:p>
      <w:pPr>
        <w:pStyle w:val="3"/>
        <w:widowControl/>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三、收到和处理政府信息公开申请情况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04" w:lineRule="atLeast"/>
        <w:ind w:left="0" w:right="0" w:firstLine="48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color="auto" w:fill="FFFFFF"/>
        </w:rPr>
        <w:fldChar w:fldCharType="begin"/>
      </w:r>
      <w:r>
        <w:rPr>
          <w:rFonts w:hint="eastAsia" w:ascii="宋体" w:hAnsi="宋体" w:eastAsia="宋体" w:cs="宋体"/>
          <w:i w:val="0"/>
          <w:iCs w:val="0"/>
          <w:caps w:val="0"/>
          <w:color w:val="333333"/>
          <w:spacing w:val="0"/>
          <w:sz w:val="24"/>
          <w:szCs w:val="24"/>
          <w:shd w:val="clear" w:color="auto" w:fill="FFFFFF"/>
        </w:rPr>
        <w:instrText xml:space="preserve">INCLUDEPICTURE \d "http://www.qinyuan.gov.cn/qyxxgk/zfxxgk/bmxxgk/xz/gdz/gknb_147048/202201/W020220128398815619045.png" \* MERGEFORMATINET </w:instrText>
      </w:r>
      <w:r>
        <w:rPr>
          <w:rFonts w:hint="eastAsia" w:ascii="宋体" w:hAnsi="宋体" w:eastAsia="宋体" w:cs="宋体"/>
          <w:i w:val="0"/>
          <w:iCs w:val="0"/>
          <w:caps w:val="0"/>
          <w:color w:val="333333"/>
          <w:spacing w:val="0"/>
          <w:sz w:val="24"/>
          <w:szCs w:val="24"/>
          <w:shd w:val="clear" w:color="auto" w:fill="FFFFFF"/>
        </w:rPr>
        <w:fldChar w:fldCharType="separate"/>
      </w:r>
      <w:r>
        <w:rPr>
          <w:rFonts w:hint="eastAsia" w:ascii="宋体" w:hAnsi="宋体" w:eastAsia="宋体" w:cs="宋体"/>
          <w:i w:val="0"/>
          <w:iCs w:val="0"/>
          <w:caps w:val="0"/>
          <w:color w:val="333333"/>
          <w:spacing w:val="0"/>
          <w:sz w:val="24"/>
          <w:szCs w:val="24"/>
          <w:shd w:val="clear" w:color="auto" w:fill="FFFFFF"/>
        </w:rPr>
        <w:drawing>
          <wp:inline distT="0" distB="0" distL="114300" distR="114300">
            <wp:extent cx="5153025" cy="6781800"/>
            <wp:effectExtent l="0" t="0" r="9525" b="0"/>
            <wp:docPr id="1" name="图片 2" descr="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image.png"/>
                    <pic:cNvPicPr>
                      <a:picLocks noChangeAspect="1"/>
                    </pic:cNvPicPr>
                  </pic:nvPicPr>
                  <pic:blipFill>
                    <a:blip r:embed="rId5"/>
                    <a:stretch>
                      <a:fillRect/>
                    </a:stretch>
                  </pic:blipFill>
                  <pic:spPr>
                    <a:xfrm>
                      <a:off x="0" y="0"/>
                      <a:ext cx="5153025" cy="6781800"/>
                    </a:xfrm>
                    <a:prstGeom prst="rect">
                      <a:avLst/>
                    </a:prstGeom>
                    <a:noFill/>
                    <a:ln>
                      <a:noFill/>
                    </a:ln>
                  </pic:spPr>
                </pic:pic>
              </a:graphicData>
            </a:graphic>
          </wp:inline>
        </w:drawing>
      </w:r>
      <w:r>
        <w:rPr>
          <w:rFonts w:hint="eastAsia" w:ascii="宋体" w:hAnsi="宋体" w:eastAsia="宋体" w:cs="宋体"/>
          <w:i w:val="0"/>
          <w:iCs w:val="0"/>
          <w:caps w:val="0"/>
          <w:color w:val="333333"/>
          <w:spacing w:val="0"/>
          <w:sz w:val="24"/>
          <w:szCs w:val="24"/>
          <w:shd w:val="clear" w:color="auto" w:fill="FFFFFF"/>
        </w:rPr>
        <w:fldChar w:fldCharType="end"/>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04" w:lineRule="atLeast"/>
        <w:ind w:left="0" w:right="0" w:firstLine="480"/>
        <w:jc w:val="left"/>
        <w:rPr>
          <w:rFonts w:hint="eastAsia" w:ascii="仿宋" w:hAnsi="仿宋" w:eastAsia="仿宋" w:cs="仿宋"/>
          <w:b/>
          <w:bCs/>
          <w:i w:val="0"/>
          <w:iCs w:val="0"/>
          <w:caps w:val="0"/>
          <w:color w:val="333333"/>
          <w:spacing w:val="0"/>
          <w:sz w:val="32"/>
          <w:szCs w:val="32"/>
        </w:rPr>
      </w:pPr>
      <w:r>
        <w:rPr>
          <w:rFonts w:hint="eastAsia" w:ascii="仿宋" w:hAnsi="仿宋" w:eastAsia="仿宋" w:cs="仿宋"/>
          <w:b/>
          <w:bCs/>
          <w:i w:val="0"/>
          <w:iCs w:val="0"/>
          <w:caps w:val="0"/>
          <w:color w:val="333333"/>
          <w:spacing w:val="0"/>
          <w:sz w:val="32"/>
          <w:szCs w:val="32"/>
          <w:shd w:val="clear" w:color="auto" w:fill="FFFFFF"/>
        </w:rPr>
        <w:t>四、政府信息公开行政复议、行政诉讼情况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04" w:lineRule="atLeast"/>
        <w:ind w:left="0" w:right="0" w:firstLine="48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color="auto" w:fill="FFFFFF"/>
        </w:rPr>
        <w:fldChar w:fldCharType="begin"/>
      </w:r>
      <w:r>
        <w:rPr>
          <w:rFonts w:hint="eastAsia" w:ascii="宋体" w:hAnsi="宋体" w:eastAsia="宋体" w:cs="宋体"/>
          <w:i w:val="0"/>
          <w:iCs w:val="0"/>
          <w:caps w:val="0"/>
          <w:color w:val="333333"/>
          <w:spacing w:val="0"/>
          <w:sz w:val="24"/>
          <w:szCs w:val="24"/>
          <w:shd w:val="clear" w:color="auto" w:fill="FFFFFF"/>
        </w:rPr>
        <w:instrText xml:space="preserve">INCLUDEPICTURE \d "http://www.qinyuan.gov.cn/qyxxgk/zfxxgk/bmxxgk/xz/gdz/gknb_147048/202201/W020220128398815619856.png" \* MERGEFORMATINET </w:instrText>
      </w:r>
      <w:r>
        <w:rPr>
          <w:rFonts w:hint="eastAsia" w:ascii="宋体" w:hAnsi="宋体" w:eastAsia="宋体" w:cs="宋体"/>
          <w:i w:val="0"/>
          <w:iCs w:val="0"/>
          <w:caps w:val="0"/>
          <w:color w:val="333333"/>
          <w:spacing w:val="0"/>
          <w:sz w:val="24"/>
          <w:szCs w:val="24"/>
          <w:shd w:val="clear" w:color="auto" w:fill="FFFFFF"/>
        </w:rPr>
        <w:fldChar w:fldCharType="separate"/>
      </w:r>
      <w:r>
        <w:rPr>
          <w:rFonts w:hint="eastAsia" w:ascii="宋体" w:hAnsi="宋体" w:eastAsia="宋体" w:cs="宋体"/>
          <w:i w:val="0"/>
          <w:iCs w:val="0"/>
          <w:caps w:val="0"/>
          <w:color w:val="333333"/>
          <w:spacing w:val="0"/>
          <w:sz w:val="24"/>
          <w:szCs w:val="24"/>
          <w:shd w:val="clear" w:color="auto" w:fill="FFFFFF"/>
        </w:rPr>
        <w:drawing>
          <wp:inline distT="0" distB="0" distL="114300" distR="114300">
            <wp:extent cx="5238750" cy="1352550"/>
            <wp:effectExtent l="0" t="0" r="0" b="0"/>
            <wp:docPr id="3" name="图片 3" descr="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age.png"/>
                    <pic:cNvPicPr>
                      <a:picLocks noChangeAspect="1"/>
                    </pic:cNvPicPr>
                  </pic:nvPicPr>
                  <pic:blipFill>
                    <a:blip r:embed="rId6"/>
                    <a:stretch>
                      <a:fillRect/>
                    </a:stretch>
                  </pic:blipFill>
                  <pic:spPr>
                    <a:xfrm>
                      <a:off x="0" y="0"/>
                      <a:ext cx="5238750" cy="1352550"/>
                    </a:xfrm>
                    <a:prstGeom prst="rect">
                      <a:avLst/>
                    </a:prstGeom>
                    <a:noFill/>
                    <a:ln>
                      <a:noFill/>
                    </a:ln>
                  </pic:spPr>
                </pic:pic>
              </a:graphicData>
            </a:graphic>
          </wp:inline>
        </w:drawing>
      </w:r>
      <w:r>
        <w:rPr>
          <w:rFonts w:hint="eastAsia" w:ascii="宋体" w:hAnsi="宋体" w:eastAsia="宋体" w:cs="宋体"/>
          <w:i w:val="0"/>
          <w:iCs w:val="0"/>
          <w:caps w:val="0"/>
          <w:color w:val="333333"/>
          <w:spacing w:val="0"/>
          <w:sz w:val="24"/>
          <w:szCs w:val="24"/>
          <w:shd w:val="clear" w:color="auto" w:fill="FFFFFF"/>
        </w:rPr>
        <w:fldChar w:fldCharType="end"/>
      </w:r>
    </w:p>
    <w:p>
      <w:pPr>
        <w:pStyle w:val="3"/>
        <w:widowControl/>
        <w:rPr>
          <w:rFonts w:hint="eastAsia" w:ascii="仿宋" w:hAnsi="仿宋" w:eastAsia="仿宋" w:cs="仿宋"/>
          <w:sz w:val="32"/>
          <w:szCs w:val="32"/>
        </w:rPr>
      </w:pPr>
      <w:r>
        <w:rPr>
          <w:rFonts w:hint="eastAsia" w:ascii="仿宋" w:hAnsi="仿宋" w:eastAsia="仿宋" w:cs="仿宋"/>
          <w:b/>
          <w:bCs/>
          <w:sz w:val="32"/>
          <w:szCs w:val="32"/>
        </w:rPr>
        <w:t>　</w:t>
      </w:r>
      <w:r>
        <w:rPr>
          <w:rFonts w:hint="eastAsia" w:ascii="仿宋" w:hAnsi="仿宋" w:eastAsia="仿宋" w:cs="仿宋"/>
          <w:b/>
          <w:bCs/>
          <w:sz w:val="32"/>
          <w:szCs w:val="32"/>
          <w:lang w:val="en-US" w:eastAsia="zh-CN"/>
        </w:rPr>
        <w:t>五</w:t>
      </w:r>
      <w:r>
        <w:rPr>
          <w:rFonts w:hint="eastAsia" w:ascii="仿宋" w:hAnsi="仿宋" w:eastAsia="仿宋" w:cs="仿宋"/>
          <w:b/>
          <w:bCs/>
          <w:sz w:val="32"/>
          <w:szCs w:val="32"/>
        </w:rPr>
        <w:t>、存在问题和改进措施</w:t>
      </w:r>
    </w:p>
    <w:p>
      <w:pPr>
        <w:pStyle w:val="3"/>
        <w:widowControl/>
        <w:rPr>
          <w:rFonts w:hint="eastAsia" w:ascii="仿宋" w:hAnsi="仿宋" w:eastAsia="仿宋" w:cs="仿宋"/>
          <w:sz w:val="32"/>
          <w:szCs w:val="32"/>
        </w:rPr>
      </w:pPr>
      <w:r>
        <w:rPr>
          <w:rFonts w:hint="eastAsia" w:ascii="仿宋" w:hAnsi="仿宋" w:eastAsia="仿宋" w:cs="仿宋"/>
          <w:sz w:val="32"/>
          <w:szCs w:val="32"/>
        </w:rPr>
        <w:t>　　2021年，我单位在政府信息公开上取得了一定成效，但仍存在问题与不足，主要体现在：一是政府信息公开工作人员对此项工作重要性的认识有待进一步提高；二是对政府信息公开的有关细则和政策的把握还不够全面；三是主动公开中的规范性文件及其他文件公开数量不够。四是我单位政府信息公开工作还存在的业务培训有待进一步加强、公开内容有待进一步深化等问题。为此我单位将采取以下措施积极改进：</w:t>
      </w:r>
    </w:p>
    <w:p>
      <w:pPr>
        <w:pStyle w:val="3"/>
        <w:widowControl/>
        <w:rPr>
          <w:rFonts w:hint="eastAsia" w:ascii="仿宋" w:hAnsi="仿宋" w:eastAsia="仿宋" w:cs="仿宋"/>
          <w:sz w:val="32"/>
          <w:szCs w:val="32"/>
        </w:rPr>
      </w:pPr>
      <w:r>
        <w:rPr>
          <w:rFonts w:hint="eastAsia" w:ascii="仿宋" w:hAnsi="仿宋" w:eastAsia="仿宋" w:cs="仿宋"/>
          <w:sz w:val="32"/>
          <w:szCs w:val="32"/>
        </w:rPr>
        <w:t>　　一是加强信息公开工作的业务学习，逐步提高政府信息公开规范化水平。进一步把《中华人民共和国政府信息公开条例》的学习作为干部培训的重要内容列入日常培训计划并组织实施。除了积极参加有关部门对信息化工作人员的业务培训，同时加强我单位各科室人员信息公开工作的业务学习。</w:t>
      </w:r>
    </w:p>
    <w:p>
      <w:pPr>
        <w:pStyle w:val="3"/>
        <w:widowControl/>
        <w:rPr>
          <w:rFonts w:hint="eastAsia" w:ascii="仿宋" w:hAnsi="仿宋" w:eastAsia="仿宋" w:cs="仿宋"/>
          <w:sz w:val="32"/>
          <w:szCs w:val="32"/>
        </w:rPr>
      </w:pPr>
      <w:r>
        <w:rPr>
          <w:rFonts w:hint="eastAsia" w:ascii="仿宋" w:hAnsi="仿宋" w:eastAsia="仿宋" w:cs="仿宋"/>
          <w:sz w:val="32"/>
          <w:szCs w:val="32"/>
        </w:rPr>
        <w:t>　　二是进一步深化公开内容。拓宽政府信息公开渠道，开展多种形式的公开方式，更好地发挥残联服务功能，服务经济、服务社会、服务人民。将我单位政府信息公开工作不断引向深入。同时加大督办力度，督促各乡镇机构、各部门严格按有关规定和制度做好信息公开工作。</w:t>
      </w:r>
    </w:p>
    <w:p>
      <w:pPr>
        <w:pStyle w:val="3"/>
        <w:widowControl/>
        <w:ind w:firstLine="640"/>
        <w:rPr>
          <w:rFonts w:hint="eastAsia" w:ascii="仿宋" w:hAnsi="仿宋" w:eastAsia="仿宋" w:cs="仿宋"/>
          <w:sz w:val="32"/>
          <w:szCs w:val="32"/>
        </w:rPr>
      </w:pPr>
      <w:r>
        <w:rPr>
          <w:rFonts w:hint="eastAsia" w:ascii="仿宋" w:hAnsi="仿宋" w:eastAsia="仿宋" w:cs="仿宋"/>
          <w:sz w:val="32"/>
          <w:szCs w:val="32"/>
        </w:rPr>
        <w:t>三是强化自身建设，通过学习、培训保障网络正常运行。要对业务人员进行专业的学习培训。加强基础设施建设与硬件设备的配置，为政府信息公开工作正常运行提供支撑。</w:t>
      </w:r>
    </w:p>
    <w:p>
      <w:pPr>
        <w:pStyle w:val="3"/>
        <w:widowControl/>
        <w:ind w:firstLine="640"/>
        <w:rPr>
          <w:rFonts w:hint="eastAsia" w:ascii="仿宋" w:hAnsi="仿宋" w:eastAsia="仿宋" w:cs="仿宋"/>
          <w:b/>
          <w:bCs/>
          <w:sz w:val="32"/>
          <w:szCs w:val="32"/>
        </w:rPr>
      </w:pPr>
      <w:r>
        <w:rPr>
          <w:rFonts w:hint="eastAsia" w:ascii="仿宋" w:hAnsi="仿宋" w:eastAsia="仿宋" w:cs="仿宋"/>
          <w:b/>
          <w:bCs/>
          <w:sz w:val="32"/>
          <w:szCs w:val="32"/>
        </w:rPr>
        <w:t>六、其他需要报告的事项</w:t>
      </w:r>
    </w:p>
    <w:p>
      <w:pPr>
        <w:pStyle w:val="3"/>
        <w:widowControl/>
        <w:ind w:firstLine="640"/>
        <w:rPr>
          <w:rFonts w:hint="eastAsia" w:ascii="仿宋" w:hAnsi="仿宋" w:eastAsia="仿宋" w:cs="仿宋"/>
          <w:sz w:val="32"/>
          <w:szCs w:val="32"/>
        </w:rPr>
      </w:pPr>
      <w:r>
        <w:rPr>
          <w:rFonts w:hint="eastAsia" w:ascii="仿宋" w:hAnsi="仿宋" w:eastAsia="仿宋" w:cs="仿宋"/>
          <w:sz w:val="32"/>
          <w:szCs w:val="32"/>
        </w:rPr>
        <w:t>无。</w:t>
      </w:r>
    </w:p>
    <w:p>
      <w:pPr>
        <w:pStyle w:val="3"/>
        <w:widowControl/>
        <w:ind w:firstLine="640"/>
        <w:rPr>
          <w:rFonts w:hint="eastAsia" w:ascii="仿宋" w:hAnsi="仿宋" w:eastAsia="仿宋" w:cs="仿宋"/>
          <w:sz w:val="32"/>
          <w:szCs w:val="32"/>
        </w:rPr>
      </w:pPr>
    </w:p>
    <w:p>
      <w:pPr>
        <w:pStyle w:val="3"/>
        <w:widowControl/>
        <w:rPr>
          <w:rFonts w:hint="eastAsia" w:ascii="仿宋" w:hAnsi="仿宋" w:eastAsia="仿宋" w:cs="仿宋"/>
          <w:sz w:val="32"/>
          <w:szCs w:val="32"/>
        </w:rPr>
      </w:pPr>
      <w:r>
        <w:rPr>
          <w:rFonts w:hint="eastAsia" w:ascii="仿宋" w:hAnsi="仿宋" w:eastAsia="仿宋" w:cs="仿宋"/>
          <w:sz w:val="32"/>
          <w:szCs w:val="32"/>
        </w:rPr>
        <w:t>　　</w:t>
      </w:r>
    </w:p>
    <w:p>
      <w:pPr>
        <w:pStyle w:val="3"/>
        <w:widowControl/>
        <w:rPr>
          <w:rFonts w:hint="eastAsia" w:ascii="仿宋" w:hAnsi="仿宋" w:eastAsia="仿宋" w:cs="仿宋"/>
          <w:sz w:val="32"/>
          <w:szCs w:val="32"/>
        </w:rPr>
      </w:pPr>
    </w:p>
    <w:p>
      <w:pPr>
        <w:pStyle w:val="3"/>
        <w:widowControl/>
        <w:rPr>
          <w:rFonts w:hint="eastAsia" w:ascii="仿宋" w:hAnsi="仿宋" w:eastAsia="仿宋" w:cs="仿宋"/>
          <w:sz w:val="32"/>
          <w:szCs w:val="32"/>
        </w:rPr>
      </w:pPr>
    </w:p>
    <w:p>
      <w:pPr>
        <w:pStyle w:val="3"/>
        <w:widowControl/>
        <w:ind w:firstLine="5440" w:firstLineChars="1700"/>
        <w:rPr>
          <w:rFonts w:hint="eastAsia" w:ascii="仿宋" w:hAnsi="仿宋" w:eastAsia="仿宋" w:cs="仿宋"/>
          <w:sz w:val="32"/>
          <w:szCs w:val="32"/>
        </w:rPr>
      </w:pPr>
      <w:r>
        <w:rPr>
          <w:rFonts w:hint="eastAsia" w:ascii="仿宋" w:hAnsi="仿宋" w:eastAsia="仿宋" w:cs="仿宋"/>
          <w:sz w:val="32"/>
          <w:szCs w:val="32"/>
        </w:rPr>
        <w:t>2022年1月</w:t>
      </w:r>
    </w:p>
    <w:p>
      <w:pPr>
        <w:pStyle w:val="3"/>
        <w:widowControl/>
        <w:rPr>
          <w:rFonts w:hint="eastAsia" w:ascii="仿宋" w:hAnsi="仿宋" w:eastAsia="仿宋" w:cs="仿宋"/>
          <w:sz w:val="32"/>
          <w:szCs w:val="32"/>
        </w:rPr>
      </w:pPr>
      <w:r>
        <w:rPr>
          <w:rFonts w:hint="eastAsia" w:ascii="仿宋" w:hAnsi="仿宋" w:eastAsia="仿宋" w:cs="仿宋"/>
          <w:sz w:val="32"/>
          <w:szCs w:val="32"/>
        </w:rPr>
        <w:t>　                           　沁源县残疾人联合会</w:t>
      </w:r>
    </w:p>
    <w:p>
      <w:pPr>
        <w:pStyle w:val="3"/>
        <w:widowControl/>
        <w:rPr>
          <w:rFonts w:hint="eastAsia" w:ascii="仿宋" w:hAnsi="仿宋" w:eastAsia="仿宋" w:cs="仿宋"/>
          <w:sz w:val="32"/>
          <w:szCs w:val="32"/>
        </w:rPr>
      </w:pPr>
    </w:p>
    <w:p>
      <w:pPr>
        <w:pStyle w:val="3"/>
        <w:widowControl/>
        <w:rPr>
          <w:rFonts w:hint="eastAsia" w:ascii="仿宋" w:hAnsi="仿宋" w:eastAsia="仿宋" w:cs="仿宋"/>
          <w:sz w:val="32"/>
          <w:szCs w:val="32"/>
        </w:rPr>
      </w:pPr>
    </w:p>
    <w:p>
      <w:pPr>
        <w:pStyle w:val="3"/>
        <w:widowControl/>
        <w:rPr>
          <w:rFonts w:hint="eastAsia" w:ascii="仿宋" w:hAnsi="仿宋" w:eastAsia="仿宋" w:cs="仿宋"/>
          <w:sz w:val="32"/>
          <w:szCs w:val="32"/>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04" w:lineRule="atLeast"/>
        <w:ind w:left="0" w:right="0" w:firstLine="480"/>
        <w:jc w:val="left"/>
        <w:rPr>
          <w:rFonts w:hint="eastAsia" w:ascii="宋体" w:hAnsi="宋体" w:eastAsia="宋体" w:cs="宋体"/>
          <w:i w:val="0"/>
          <w:iCs w:val="0"/>
          <w:caps w:val="0"/>
          <w:color w:val="333333"/>
          <w:spacing w:val="0"/>
          <w:sz w:val="24"/>
          <w:szCs w:val="24"/>
          <w:shd w:val="clear" w:color="auto"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04" w:lineRule="atLeast"/>
        <w:ind w:left="0" w:right="0" w:firstLine="480"/>
        <w:jc w:val="left"/>
        <w:rPr>
          <w:rFonts w:hint="eastAsia" w:ascii="宋体" w:hAnsi="宋体" w:eastAsia="宋体" w:cs="宋体"/>
          <w:i w:val="0"/>
          <w:iCs w:val="0"/>
          <w:caps w:val="0"/>
          <w:color w:val="333333"/>
          <w:spacing w:val="0"/>
          <w:sz w:val="24"/>
          <w:szCs w:val="24"/>
          <w:shd w:val="clear" w:color="auto" w:fill="FFFFFF"/>
        </w:rPr>
      </w:pP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roma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0F08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unhideWhenUsed/>
    <w:qFormat/>
    <w:uiPriority w:val="0"/>
    <w:pPr>
      <w:spacing w:before="100" w:beforeAutospacing="1" w:after="10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szCs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2022-01-28T09:07:47Z</dcterms:created>
  <dc:creator>acer</dc:creator>
  <cp:lastModifiedBy>acer</cp:lastModifiedBy>
  <dcterms:modified xsi:type="dcterms:W3CDTF">2022-01-28T09:08:24Z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0172AECCAAE44E54AD043BA1335229F7</vt:lpwstr>
  </property>
</Properties>
</file>