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0" w:line="560" w:lineRule="exact"/>
        <w:ind w:left="147" w:right="147"/>
        <w:jc w:val="center"/>
        <w:rPr>
          <w:rFonts w:hint="eastAsia" w:ascii="方正小标宋_GBK" w:hAnsi="方正小标宋_GBK" w:eastAsia="方正小标宋_GBK" w:cs="方正小标宋_GBK"/>
          <w:color w:val="000000" w:themeColor="text1"/>
          <w:spacing w:val="-6"/>
          <w:sz w:val="44"/>
          <w:szCs w:val="44"/>
          <w:highlight w:val="none"/>
          <w:shd w:val="clear" w:color="auto" w:fill="FFFFFF"/>
          <w:lang w:val="en-US" w:eastAsia="zh-CN"/>
          <w14:textFill>
            <w14:solidFill>
              <w14:schemeClr w14:val="tx1"/>
            </w14:solidFill>
          </w14:textFill>
        </w:rPr>
      </w:pPr>
      <w:r>
        <w:rPr>
          <w:rFonts w:hint="eastAsia" w:ascii="方正小标宋_GBK" w:hAnsi="方正小标宋_GBK" w:eastAsia="方正小标宋_GBK" w:cs="方正小标宋_GBK"/>
          <w:color w:val="000000" w:themeColor="text1"/>
          <w:spacing w:val="-6"/>
          <w:sz w:val="44"/>
          <w:szCs w:val="44"/>
          <w:highlight w:val="none"/>
          <w:shd w:val="clear" w:color="auto" w:fill="FFFFFF"/>
          <w:lang w:val="en-US" w:eastAsia="zh-CN"/>
          <w14:textFill>
            <w14:solidFill>
              <w14:schemeClr w14:val="tx1"/>
            </w14:solidFill>
          </w14:textFill>
        </w:rPr>
        <w:t xml:space="preserve"> </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沁源县林业和草原局</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行政执法公示办法</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p>
    <w:p>
      <w:pPr>
        <w:spacing w:line="560" w:lineRule="exact"/>
        <w:ind w:left="150" w:right="150"/>
        <w:jc w:val="center"/>
        <w:rPr>
          <w:rFonts w:hint="eastAsia" w:asciiTheme="majorEastAsia" w:hAnsiTheme="majorEastAsia" w:eastAsiaTheme="majorEastAsia" w:cstheme="majorEastAsia"/>
          <w:b/>
          <w:bCs/>
          <w:color w:val="000000" w:themeColor="text1"/>
          <w:sz w:val="32"/>
          <w:szCs w:val="32"/>
          <w:highlight w:val="none"/>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t>第一章  总  则</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第一条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为规范林业行政执法行为，严格依法行政，切实维护公民、法人和其他社会组织的合法权益，根据</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县人民政府办公厅《</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沁源县人民政府办公室关于转发长治市行政执法公示、全过程记录和重大行政执法决定法制审核等三个办法的通知</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》文件要求，结合县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行政执法工作实际，制定本办法。</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第二条</w:t>
      </w:r>
      <w:r>
        <w:rPr>
          <w:rFonts w:hint="eastAsia" w:ascii="仿宋_GB2312" w:hAnsi="仿宋_GB2312" w:eastAsia="仿宋_GB2312" w:cs="仿宋_GB2312"/>
          <w:b/>
          <w:bCs/>
          <w:color w:val="000000" w:themeColor="text1"/>
          <w:spacing w:val="-6"/>
          <w:sz w:val="32"/>
          <w:szCs w:val="32"/>
          <w:highlight w:val="none"/>
          <w:shd w:val="clear" w:color="auto" w:fill="FFFFFF"/>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各执法机构（包括局机关执法科室和法律、法规授权的直属单位及依法受县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委托从事行政执法活动的直属单位）的行政执法公示工作，应当遵守本办法。</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第三条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通过一定载体和方式，依法将本局的行政执法职责、权限、依据、程序、主体、人员、结果、监督方式、救济途径等行政执法信息主动向社会公开，保障行政相对人和社会公众的知情权、参与权、救济权、监督权，自觉接受社会监督。</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第四条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按照《</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沁源县人民政府办公室关于转发长治市行政执法公示、全过程记录和重大行政执法决定法制审核等三个办法的通知</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》要求，县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在行政处罚、行政强制等行政执法行为中推行行政执法公示制度。</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第五条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行政执法公示应当坚持公平、公正、合法、及时、准确、便民的原则。</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第六条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法制工作机构负责指导、协调、监督本局行政执法公示工作。县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各执法机构负责本机构行政执法公示具体工作。其他相关机构依照法定职责，做好行政执法公示相关工作。</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t>第二章  公示公开内容</w:t>
      </w:r>
    </w:p>
    <w:p>
      <w:pPr>
        <w:spacing w:line="560" w:lineRule="exact"/>
        <w:ind w:left="150" w:right="150"/>
        <w:jc w:val="center"/>
        <w:rPr>
          <w:rFonts w:hint="eastAsia" w:ascii="仿宋_GB2312" w:hAnsi="仿宋_GB2312" w:eastAsia="仿宋_GB2312" w:cs="仿宋_GB2312"/>
          <w:b/>
          <w:bCs/>
          <w:color w:val="000000" w:themeColor="text1"/>
          <w:spacing w:val="-6"/>
          <w:sz w:val="32"/>
          <w:szCs w:val="32"/>
          <w:highlight w:val="none"/>
          <w:shd w:val="clear" w:color="auto" w:fill="FFFFFF"/>
          <w14:textFill>
            <w14:solidFill>
              <w14:schemeClr w14:val="tx1"/>
            </w14:solidFill>
          </w14:textFill>
        </w:rPr>
      </w:pPr>
      <w:r>
        <w:rPr>
          <w:rFonts w:hint="eastAsia" w:ascii="仿宋_GB2312" w:hAnsi="仿宋_GB2312" w:eastAsia="仿宋_GB2312" w:cs="仿宋_GB2312"/>
          <w:b/>
          <w:bCs/>
          <w:color w:val="000000" w:themeColor="text1"/>
          <w:spacing w:val="-6"/>
          <w:sz w:val="32"/>
          <w:szCs w:val="32"/>
          <w:highlight w:val="none"/>
          <w:shd w:val="clear" w:color="auto" w:fill="FFFFFF"/>
          <w14:textFill>
            <w14:solidFill>
              <w14:schemeClr w14:val="tx1"/>
            </w14:solidFill>
          </w14:textFill>
        </w:rPr>
        <w:t>第一节  事前公开内容</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第七条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行政执法事前公开内容包括：</w:t>
      </w:r>
    </w:p>
    <w:p>
      <w:pPr>
        <w:spacing w:line="560" w:lineRule="exact"/>
        <w:ind w:left="150" w:right="150" w:firstLine="619"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（一）执法主体。</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公示县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各执法机构职责分工、管辖范围、执法区域以及所属执法人员姓名、职务、执法证号码和执法范围等；</w:t>
      </w:r>
    </w:p>
    <w:p>
      <w:pPr>
        <w:spacing w:before="150" w:line="560" w:lineRule="exact"/>
        <w:ind w:left="150" w:right="150" w:firstLine="619"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（二）执法依据。</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公示林业行政执法所依据的法律、法规、规章；</w:t>
      </w:r>
    </w:p>
    <w:p>
      <w:pPr>
        <w:spacing w:before="150" w:line="560" w:lineRule="exact"/>
        <w:ind w:left="150" w:right="150" w:firstLine="619"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（三）执法权限。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公示县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行政处罚、行政强制、行政检查事项；</w:t>
      </w:r>
    </w:p>
    <w:p>
      <w:pPr>
        <w:spacing w:before="150" w:line="560" w:lineRule="exact"/>
        <w:ind w:left="150" w:right="150" w:firstLine="619"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（四）执法程序。</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公示县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行政执法具体程序，包括方式、步骤、时限和顺序，制定并公布行政执法流程图；</w:t>
      </w:r>
    </w:p>
    <w:p>
      <w:pPr>
        <w:spacing w:before="150" w:line="560" w:lineRule="exact"/>
        <w:ind w:left="150" w:right="150" w:firstLine="619"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（五）随机抽查事项清单。</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公示县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随机抽查事项清单，明确抽查依据、抽查主体、抽查内容、抽查方式、抽查比例、抽查频次等内容；</w:t>
      </w:r>
    </w:p>
    <w:p>
      <w:pPr>
        <w:spacing w:before="150" w:line="560" w:lineRule="exact"/>
        <w:ind w:left="150" w:right="150" w:firstLine="64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（六）救济渠道。</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公示行政相对人依法享有的听证权、陈述权、申辩权和申请行政复议或者提起行政诉讼等法定权利和救济途径；</w:t>
      </w:r>
    </w:p>
    <w:p>
      <w:pPr>
        <w:spacing w:before="150" w:line="560" w:lineRule="exact"/>
        <w:ind w:left="150" w:right="150" w:firstLine="619"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（七） 监督举报。</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公开接受监督举报的地址、邮编、电话、邮箱及受理反馈程序，及时受理公民、法人和其他社会组织对县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行政执法主体和执法人员的执法行为的监督和举报。</w:t>
      </w:r>
    </w:p>
    <w:p>
      <w:pPr>
        <w:spacing w:line="560" w:lineRule="exact"/>
        <w:ind w:left="150" w:right="150"/>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shd w:val="clear" w:color="auto" w:fill="FFFFFF"/>
          <w14:textFill>
            <w14:solidFill>
              <w14:schemeClr w14:val="tx1"/>
            </w14:solidFill>
          </w14:textFill>
        </w:rPr>
        <w:t>第二节  事中公示内容</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第八条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人员进行监督检查、调查取证、告知送达等执法活动时，应当佩戴或出示执法证件。严格按照有关规定出具执法文书，告知行政相对人执法事由、执法依据、权利义务等内容，并做好说明解释工作。根据有关规定配备制式服装、执法标识的执法机构按照规定着制式服装，佩戴执法标识。</w:t>
      </w:r>
    </w:p>
    <w:p>
      <w:pPr>
        <w:overflowPunct w:val="0"/>
        <w:autoSpaceDE w:val="0"/>
        <w:spacing w:line="560" w:lineRule="atLeast"/>
        <w:ind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第九条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 xml:space="preserve"> 局属各行政执法机构应当结合法定和授权职责制作服务指南、岗位信息公示牌等。</w:t>
      </w:r>
    </w:p>
    <w:p>
      <w:pPr>
        <w:spacing w:line="560" w:lineRule="exact"/>
        <w:ind w:right="150"/>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shd w:val="clear" w:color="auto" w:fill="FFFFFF"/>
          <w14:textFill>
            <w14:solidFill>
              <w14:schemeClr w14:val="tx1"/>
            </w14:solidFill>
          </w14:textFill>
        </w:rPr>
        <w:t>第三节  事后公开内容</w:t>
      </w: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第十条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各执法机构作出的行政执法决定（结果），除法律、法规、规章另有规定外，应当予以公开，接受社会监督。</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第十一条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公开的行政执法决定（结果）内容有：</w:t>
      </w:r>
    </w:p>
    <w:p>
      <w:pPr>
        <w:spacing w:before="150" w:line="560" w:lineRule="exact"/>
        <w:ind w:left="150" w:right="150" w:firstLine="619" w:firstLineChars="20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（一）行政处罚。</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行政处罚相对人、违法事实、处罚依据、处罚结果、处罚时间以及行政处罚决定书编号等；</w:t>
      </w:r>
    </w:p>
    <w:p>
      <w:pPr>
        <w:spacing w:before="150" w:line="560" w:lineRule="exact"/>
        <w:ind w:left="150" w:right="150" w:firstLine="640"/>
        <w:jc w:val="left"/>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（二）行政强制。</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行政强制的措施、执行方式、执行结果、查封扣押清单等；</w:t>
      </w:r>
    </w:p>
    <w:p>
      <w:pPr>
        <w:spacing w:line="560" w:lineRule="exact"/>
        <w:ind w:left="150" w:right="150" w:firstLine="64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（三）行政检查。</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行政检查对象、检查依据、检查方式、检查时间、检查事项、抽查内容、存在问题以及整改情况。 </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第十二条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有下列情形之一的行政执法决定（结果）信息，不予公开:</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val="0"/>
          <w:bCs w:val="0"/>
          <w:color w:val="000000" w:themeColor="text1"/>
          <w:spacing w:val="-6"/>
          <w:sz w:val="32"/>
          <w:szCs w:val="32"/>
          <w:highlight w:val="none"/>
          <w:shd w:val="clear" w:color="auto" w:fill="FFFFFF"/>
          <w14:textFill>
            <w14:solidFill>
              <w14:schemeClr w14:val="tx1"/>
            </w14:solidFill>
          </w14:textFill>
        </w:rPr>
        <w:t>（一）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行政相对人是未成年人的；</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（二）案件主要事实涉及国家秘密、商业秘密、个人隐私的；</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（三）公开后可能危及国家安全、公共安全、经济安全和社会稳定的；</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（四）可能妨害正常执法活动的执法信息；</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（五）国家、省、市人民政府及其林业部门认为不适宜公开的其他行政执法决定（结果）信息。</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法律、法规、规章对行政执法决定（结果）公开另有规定的，从其规定。</w:t>
      </w:r>
    </w:p>
    <w:p>
      <w:pPr>
        <w:spacing w:line="560" w:lineRule="exact"/>
        <w:ind w:left="150" w:right="150"/>
        <w:jc w:val="center"/>
        <w:rPr>
          <w:rFonts w:hint="eastAsia" w:asciiTheme="majorEastAsia" w:hAnsiTheme="majorEastAsia" w:eastAsiaTheme="majorEastAsia" w:cstheme="majorEastAsia"/>
          <w:b/>
          <w:bCs/>
          <w:color w:val="000000" w:themeColor="text1"/>
          <w:sz w:val="32"/>
          <w:szCs w:val="32"/>
          <w:highlight w:val="none"/>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t>第三章  公示公开载体</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第十三条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各行政执法机构按照“谁执法、谁公开”的原则，以</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网站为主要载体，以文件、新闻媒介、办公场所等为补充，积极拓展公开渠道方式，全面、准确、及时公开有关行政执法信息。</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法律法规规章另有规定的，从其规定。</w:t>
      </w:r>
    </w:p>
    <w:p>
      <w:pPr>
        <w:numPr>
          <w:ilvl w:val="0"/>
          <w:numId w:val="0"/>
        </w:numPr>
        <w:spacing w:line="560" w:lineRule="exact"/>
        <w:ind w:right="150" w:rightChars="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lang w:eastAsia="zh-CN"/>
          <w14:textFill>
            <w14:solidFill>
              <w14:schemeClr w14:val="tx1"/>
            </w14:solidFill>
          </w14:textFill>
        </w:rPr>
        <w:t>第十四条</w:t>
      </w:r>
      <w:r>
        <w:rPr>
          <w:rFonts w:hint="eastAsia" w:ascii="黑体" w:hAnsi="黑体" w:eastAsia="黑体" w:cs="黑体"/>
          <w:b w:val="0"/>
          <w:bCs w:val="0"/>
          <w:color w:val="000000" w:themeColor="text1"/>
          <w:spacing w:val="-6"/>
          <w:sz w:val="32"/>
          <w:szCs w:val="32"/>
          <w:highlight w:val="none"/>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探索建立行政执法信息公示新平台，实现执法信息向公示新平台推送。</w:t>
      </w:r>
    </w:p>
    <w:p>
      <w:pPr>
        <w:numPr>
          <w:ilvl w:val="0"/>
          <w:numId w:val="0"/>
        </w:numPr>
        <w:spacing w:line="560" w:lineRule="exact"/>
        <w:ind w:leftChars="200" w:right="150" w:rightChars="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jc w:val="center"/>
        <w:rPr>
          <w:rFonts w:hint="eastAsia" w:asciiTheme="majorEastAsia" w:hAnsiTheme="majorEastAsia" w:eastAsiaTheme="majorEastAsia" w:cstheme="majorEastAsia"/>
          <w:b/>
          <w:bCs/>
          <w:color w:val="000000" w:themeColor="text1"/>
          <w:sz w:val="32"/>
          <w:szCs w:val="32"/>
          <w:highlight w:val="none"/>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t>第四章  公示公开程序</w:t>
      </w:r>
    </w:p>
    <w:p>
      <w:pPr>
        <w:spacing w:line="560" w:lineRule="exact"/>
        <w:ind w:left="150" w:right="150"/>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shd w:val="clear" w:color="auto" w:fill="FFFFFF"/>
          <w14:textFill>
            <w14:solidFill>
              <w14:schemeClr w14:val="tx1"/>
            </w14:solidFill>
          </w14:textFill>
        </w:rPr>
        <w:t>第一节  事前公开程序</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第十五条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各执法机构按照权力清单，编制《</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行政执法事项清单》，全面、准确梳理县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行政执法主体、职责、权限、依据、程序等事前公开内容，报县政府法制办审核后予以公开。</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第十六条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各执法机构根据“双随机、一公开”监管要求，明确抽查主体、依据、对象、内容、方式等事前公开的内容，由县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法制工作机构汇总形成《</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随机抽查事项清单》，并予以公示。</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第十七条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各执法机构应当根据相关法律、法规、规章规定，编制县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各类行政执法流程图，明确具体操作流程、监督方式、救济渠道等内容，并予以公示。</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第十八条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向社会公示县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行政执法人员清单，实现行政执法人员信息公开透明，随时接受群众监督，方便群众办事。</w:t>
      </w:r>
    </w:p>
    <w:p>
      <w:pPr>
        <w:spacing w:line="560" w:lineRule="exact"/>
        <w:ind w:left="150" w:right="150" w:firstLine="616" w:firstLineChars="200"/>
        <w:rPr>
          <w:rFonts w:hint="eastAsia" w:ascii="仿宋_GB2312" w:hAnsi="仿宋_GB2312" w:eastAsia="仿宋_GB2312" w:cs="仿宋_GB2312"/>
          <w:b/>
          <w:color w:val="000000" w:themeColor="text1"/>
          <w:spacing w:val="-6"/>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第十九条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新颁布、修改、废止林业相关法律、法规、规章和规范性文件或者县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机构职能调整等情况引起县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行政执法公示内容发生变化的，应当自有关法律、法规、规章和规范性文件生效、废止或者机构职能调整之日起20个工作日内，按上述程序及时更新相关公示内容。</w:t>
      </w:r>
    </w:p>
    <w:p>
      <w:pPr>
        <w:spacing w:line="560" w:lineRule="exact"/>
        <w:ind w:left="150" w:right="150"/>
        <w:jc w:val="center"/>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shd w:val="clear" w:color="auto" w:fill="FFFFFF"/>
          <w14:textFill>
            <w14:solidFill>
              <w14:schemeClr w14:val="tx1"/>
            </w14:solidFill>
          </w14:textFill>
        </w:rPr>
        <w:t>第二节  事后公开程序</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第二十条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行政执法事后公开程序包括：</w:t>
      </w:r>
    </w:p>
    <w:p>
      <w:pPr>
        <w:spacing w:line="560" w:lineRule="exact"/>
        <w:ind w:left="150" w:right="150" w:firstLine="619" w:firstLineChars="200"/>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（一）公开时限。</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1.县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各类行政执法决定（结果），由承办机构在信息形成或者变更之日起7个工作日之内公开。</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2.县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各行政执法机构按照“双随机”抽查的要求，对抽查结果正常的市场主体，自抽查结束之日起20个工作日内，由承办机构向社会公示；对抽查有问题的市场主体，由承办机构区分情况依法做出处理并向社会公示。</w:t>
      </w:r>
    </w:p>
    <w:p>
      <w:pPr>
        <w:spacing w:line="560" w:lineRule="exact"/>
        <w:ind w:left="150" w:right="150" w:firstLine="619"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（二）公开期限。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行政执法结果信息在互联网上公开满5年或者行政相对人是自然人的，公开满2年，经公示机构主要负责人审核批准后，可以从公示载体上撤下。已经公开的原行政处罚决定被依法撤销、确认违法或者要求重新作出的，应及时撤下公开的原行政处罚案件信息，并作出必要的说明。</w:t>
      </w:r>
    </w:p>
    <w:p>
      <w:pPr>
        <w:spacing w:line="560" w:lineRule="exact"/>
        <w:ind w:left="150" w:right="150"/>
        <w:jc w:val="center"/>
        <w:rPr>
          <w:rFonts w:hint="eastAsia" w:ascii="仿宋_GB2312" w:hAnsi="仿宋_GB2312" w:eastAsia="仿宋_GB2312" w:cs="仿宋_GB2312"/>
          <w:b/>
          <w:color w:val="000000" w:themeColor="text1"/>
          <w:sz w:val="32"/>
          <w:szCs w:val="32"/>
          <w:highlight w:val="none"/>
          <w14:textFill>
            <w14:solidFill>
              <w14:schemeClr w14:val="tx1"/>
            </w14:solidFill>
          </w14:textFill>
        </w:rPr>
      </w:pPr>
      <w:r>
        <w:rPr>
          <w:rFonts w:hint="eastAsia" w:ascii="仿宋_GB2312" w:hAnsi="仿宋_GB2312" w:eastAsia="仿宋_GB2312" w:cs="仿宋_GB2312"/>
          <w:b/>
          <w:color w:val="000000" w:themeColor="text1"/>
          <w:spacing w:val="-6"/>
          <w:sz w:val="32"/>
          <w:szCs w:val="32"/>
          <w:highlight w:val="none"/>
          <w:shd w:val="clear" w:color="auto" w:fill="FFFFFF"/>
          <w14:textFill>
            <w14:solidFill>
              <w14:schemeClr w14:val="tx1"/>
            </w14:solidFill>
          </w14:textFill>
        </w:rPr>
        <w:t>第三节  公示机制</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第二十一条</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构建分工明确、职责明晰、便捷高效的行政执法公示运行机制。县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法制工作机构具体负责事前公开公示工作，局属各执法机构具体负责事中、事后公开公示工作。各机构要明确专门人员负责公示内容的梳理、汇总、传递、发布和更新工作，公示内容要按程序进行审核方可公布。各执法机构对事中、事后公开公示信息的合法性、真实性、及时性、完整性负责。</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第二十二条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在</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网站公示公开的内容，各执法机构套认真细致梳理、汇总，经审核后，由县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办公室进行对外发布和更新。</w:t>
      </w:r>
    </w:p>
    <w:p>
      <w:pPr>
        <w:pStyle w:val="2"/>
        <w:overflowPunct w:val="0"/>
        <w:autoSpaceDE w:val="0"/>
        <w:ind w:firstLine="632"/>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kern w:val="2"/>
          <w:sz w:val="32"/>
          <w:szCs w:val="32"/>
          <w:highlight w:val="none"/>
          <w:shd w:val="clear" w:color="auto" w:fill="FFFFFF"/>
          <w:lang w:val="en-US" w:eastAsia="zh-CN" w:bidi="ar-SA"/>
          <w14:textFill>
            <w14:solidFill>
              <w14:schemeClr w14:val="tx1"/>
            </w14:solidFill>
          </w14:textFill>
        </w:rPr>
        <w:t xml:space="preserve">第二十三条 </w:t>
      </w:r>
      <w:r>
        <w:rPr>
          <w:rFonts w:hint="eastAsia" w:ascii="仿宋_GB2312" w:hAnsi="仿宋_GB2312" w:eastAsia="仿宋_GB2312" w:cs="仿宋_GB2312"/>
          <w:color w:val="000000" w:themeColor="text1"/>
          <w:spacing w:val="-6"/>
          <w:kern w:val="2"/>
          <w:sz w:val="32"/>
          <w:szCs w:val="32"/>
          <w:highlight w:val="none"/>
          <w:shd w:val="clear" w:color="auto" w:fill="FFFFFF"/>
          <w14:textFill>
            <w14:solidFill>
              <w14:schemeClr w14:val="tx1"/>
            </w14:solidFill>
          </w14:textFill>
        </w:rPr>
        <w:t xml:space="preserve"> 县</w:t>
      </w:r>
      <w:r>
        <w:rPr>
          <w:rFonts w:hint="eastAsia" w:ascii="仿宋_GB2312" w:hAnsi="仿宋_GB2312" w:eastAsia="仿宋_GB2312" w:cs="仿宋_GB2312"/>
          <w:color w:val="000000" w:themeColor="text1"/>
          <w:spacing w:val="-6"/>
          <w:kern w:val="2"/>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kern w:val="2"/>
          <w:sz w:val="32"/>
          <w:szCs w:val="32"/>
          <w:highlight w:val="none"/>
          <w:shd w:val="clear" w:color="auto" w:fill="FFFFFF"/>
          <w14:textFill>
            <w14:solidFill>
              <w14:schemeClr w14:val="tx1"/>
            </w14:solidFill>
          </w14:textFill>
        </w:rPr>
        <w:t>各行政执法机构公示发布的行政执法公开信息，有公民、法人和其他社会组织反应不准确的，报送县</w:t>
      </w:r>
      <w:r>
        <w:rPr>
          <w:rFonts w:hint="eastAsia" w:ascii="仿宋_GB2312" w:hAnsi="仿宋_GB2312" w:eastAsia="仿宋_GB2312" w:cs="仿宋_GB2312"/>
          <w:color w:val="000000" w:themeColor="text1"/>
          <w:spacing w:val="-6"/>
          <w:kern w:val="2"/>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kern w:val="2"/>
          <w:sz w:val="32"/>
          <w:szCs w:val="32"/>
          <w:highlight w:val="none"/>
          <w:shd w:val="clear" w:color="auto" w:fill="FFFFFF"/>
          <w14:textFill>
            <w14:solidFill>
              <w14:schemeClr w14:val="tx1"/>
            </w14:solidFill>
          </w14:textFill>
        </w:rPr>
        <w:t>法制工作机构核实后，以适当的方式澄清，及时更正。</w:t>
      </w:r>
    </w:p>
    <w:p>
      <w:pPr>
        <w:spacing w:line="560" w:lineRule="exact"/>
        <w:ind w:left="150" w:right="150"/>
        <w:jc w:val="center"/>
        <w:rPr>
          <w:rFonts w:hint="eastAsia" w:asciiTheme="majorEastAsia" w:hAnsiTheme="majorEastAsia" w:eastAsiaTheme="majorEastAsia" w:cstheme="majorEastAsia"/>
          <w:b/>
          <w:bCs/>
          <w:color w:val="000000" w:themeColor="text1"/>
          <w:sz w:val="32"/>
          <w:szCs w:val="32"/>
          <w:highlight w:val="none"/>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t>第五章  监督检查</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第二十四条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建立健全责任追究制度，对不按要求公示、选择性公示、更新维护不及时等问题，责令改正；情节严重的，追究有关责任人员责任。</w:t>
      </w:r>
    </w:p>
    <w:p>
      <w:pPr>
        <w:spacing w:line="560" w:lineRule="exact"/>
        <w:ind w:left="150" w:right="150"/>
        <w:jc w:val="center"/>
        <w:rPr>
          <w:rFonts w:hint="eastAsia" w:asciiTheme="majorEastAsia" w:hAnsiTheme="majorEastAsia" w:eastAsiaTheme="majorEastAsia" w:cstheme="majorEastAsia"/>
          <w:b/>
          <w:bCs/>
          <w:color w:val="000000" w:themeColor="text1"/>
          <w:sz w:val="32"/>
          <w:szCs w:val="32"/>
          <w:highlight w:val="none"/>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32"/>
          <w:szCs w:val="32"/>
          <w:highlight w:val="none"/>
          <w:shd w:val="clear" w:color="auto" w:fill="FFFFFF"/>
          <w14:textFill>
            <w14:solidFill>
              <w14:schemeClr w14:val="tx1"/>
            </w14:solidFill>
          </w14:textFill>
        </w:rPr>
        <w:t>第六章  附  则</w:t>
      </w:r>
    </w:p>
    <w:p>
      <w:pPr>
        <w:spacing w:line="560" w:lineRule="exact"/>
        <w:ind w:left="150" w:right="150" w:firstLine="616"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第二十五条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本办法由</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沁源</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林业和草原局</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推行三项制度工作领导小组负责解释。</w:t>
      </w: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r>
        <w:rPr>
          <w:rFonts w:hint="eastAsia" w:ascii="黑体" w:hAnsi="黑体" w:eastAsia="黑体" w:cs="黑体"/>
          <w:b w:val="0"/>
          <w:bCs w:val="0"/>
          <w:color w:val="000000" w:themeColor="text1"/>
          <w:spacing w:val="-6"/>
          <w:sz w:val="32"/>
          <w:szCs w:val="32"/>
          <w:highlight w:val="none"/>
          <w:shd w:val="clear" w:color="auto" w:fill="FFFFFF"/>
          <w14:textFill>
            <w14:solidFill>
              <w14:schemeClr w14:val="tx1"/>
            </w14:solidFill>
          </w14:textFill>
        </w:rPr>
        <w:t xml:space="preserve">第二十六条 </w:t>
      </w:r>
      <w: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t xml:space="preserve"> 本办法自印发之日起施行。</w:t>
      </w: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right="150"/>
        <w:jc w:val="both"/>
        <w:rPr>
          <w:rFonts w:ascii="方正小标宋简体" w:hAnsi="方正小标宋简体" w:eastAsia="方正小标宋简体" w:cs="方正小标宋简体"/>
          <w:color w:val="000000" w:themeColor="text1"/>
          <w:spacing w:val="-6"/>
          <w:sz w:val="44"/>
          <w:szCs w:val="44"/>
          <w:shd w:val="clear" w:color="auto" w:fill="FFFFFF"/>
          <w14:textFill>
            <w14:solidFill>
              <w14:schemeClr w14:val="tx1"/>
            </w14:solidFill>
          </w14:textFill>
        </w:rPr>
      </w:pP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沁源县林业和草原局</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行政执法全过程记录办法</w:t>
      </w:r>
    </w:p>
    <w:p>
      <w:pPr>
        <w:spacing w:line="560" w:lineRule="exact"/>
        <w:ind w:left="150" w:right="150"/>
        <w:jc w:val="center"/>
        <w:rPr>
          <w:rFonts w:ascii="黑体" w:hAnsi="宋体" w:eastAsia="黑体" w:cs="黑体"/>
          <w:color w:val="000000" w:themeColor="text1"/>
          <w:spacing w:val="-6"/>
          <w:sz w:val="32"/>
          <w:szCs w:val="32"/>
          <w:shd w:val="clear" w:color="auto" w:fill="FFFFFF"/>
          <w14:textFill>
            <w14:solidFill>
              <w14:schemeClr w14:val="tx1"/>
            </w14:solidFill>
          </w14:textFill>
        </w:rPr>
      </w:pPr>
    </w:p>
    <w:p>
      <w:pPr>
        <w:spacing w:line="560" w:lineRule="exact"/>
        <w:ind w:left="150" w:right="150"/>
        <w:jc w:val="center"/>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第一章  总  则</w:t>
      </w:r>
    </w:p>
    <w:p>
      <w:pPr>
        <w:spacing w:line="580" w:lineRule="exact"/>
        <w:ind w:left="150" w:right="15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第一条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为推进</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行政执法全过程记录制度建设，促进严格规范公正文明执法，防范执法风险，维护公民、法人和其他社会组织的合法权益，按照《</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沁源县人民政府办公室关于转发长治市行政执法公示、全过程记录和重大行政执法决定法制审核等三个办法的通知</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》的要求，结合</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行政执法工作实际，制定本办法。</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本办法所称行政执法，是指</w:t>
      </w:r>
      <w:r>
        <w:rPr>
          <w:rFonts w:hint="eastAsia" w:ascii="仿宋_GB2312" w:hAnsi="Times New Roman"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Times New Roman"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t>执法机构（包括局机关执法科室和法律、法规授权的直属单位及依法受</w:t>
      </w:r>
      <w:r>
        <w:rPr>
          <w:rFonts w:hint="eastAsia" w:ascii="仿宋_GB2312" w:hAnsi="Times New Roman"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Times New Roman"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t>委托从事行政执法活动的直属单位）</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，依据法律、法规和规章设定及依法受委托而实施的行政处罚、行政强制、行政检查等林业行政执法行为。</w:t>
      </w:r>
    </w:p>
    <w:p>
      <w:pPr>
        <w:spacing w:line="580" w:lineRule="exact"/>
        <w:ind w:left="150" w:right="15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本办法所称全过程记录，是指</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执法机构及执法人员通过文字、音像等记录方式，对行政执法程序启动、调查取证、审查决定、送达执行、归档管理等整个过程进行实时跟踪记录的活动。</w:t>
      </w:r>
    </w:p>
    <w:p>
      <w:pPr>
        <w:spacing w:line="580" w:lineRule="exact"/>
        <w:ind w:left="147" w:right="147"/>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黑体" w:hAnsi="宋体" w:eastAsia="黑体" w:cs="黑体"/>
          <w:color w:val="000000" w:themeColor="text1"/>
          <w:spacing w:val="-6"/>
          <w:sz w:val="32"/>
          <w:szCs w:val="32"/>
          <w:shd w:val="clear" w:color="auto" w:fill="FFFFFF"/>
          <w14:textFill>
            <w14:solidFill>
              <w14:schemeClr w14:val="tx1"/>
            </w14:solidFill>
          </w14:textFill>
        </w:rPr>
        <w:t>第四条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林业行政执法全过程记录应坚持合法、客观、公正的原则，根据行政执法行为的性质、种类、现场、阶段的不同，采取合法、适当、有效的方式和手段实施全过程记录。</w:t>
      </w:r>
    </w:p>
    <w:p>
      <w:pPr>
        <w:spacing w:line="580" w:lineRule="exact"/>
        <w:ind w:left="147" w:right="147" w:firstLine="616" w:firstLineChars="200"/>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第五条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音像记录设备按照</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市县</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有关办法要求标准配备。</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法制工作机构负责指导、协调、监督本局内行政执法全过程记录工作。</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各执法机构负责本机构行政执法全过程记录具体工作。</w:t>
      </w:r>
    </w:p>
    <w:p>
      <w:pPr>
        <w:spacing w:before="150" w:line="580" w:lineRule="exact"/>
        <w:ind w:left="147" w:right="147" w:firstLine="616" w:firstLineChars="200"/>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pPr>
    </w:p>
    <w:p>
      <w:pPr>
        <w:spacing w:line="580" w:lineRule="exact"/>
        <w:ind w:left="150" w:right="150"/>
        <w:jc w:val="center"/>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第二章</w:t>
      </w:r>
      <w:r>
        <w:rPr>
          <w:rFonts w:hint="eastAsia" w:ascii="黑体" w:hAnsi="Times New Roman" w:eastAsia="黑体" w:cs="黑体"/>
          <w:color w:val="000000" w:themeColor="text1"/>
          <w:spacing w:val="-6"/>
          <w:sz w:val="32"/>
          <w:szCs w:val="32"/>
          <w:shd w:val="clear" w:color="auto" w:fill="FFFFFF"/>
          <w14:textFill>
            <w14:solidFill>
              <w14:schemeClr w14:val="tx1"/>
            </w14:solidFill>
          </w14:textFill>
        </w:rPr>
        <w:t xml:space="preserve">  </w:t>
      </w:r>
      <w:r>
        <w:rPr>
          <w:rFonts w:hint="eastAsia" w:ascii="黑体" w:hAnsi="宋体" w:eastAsia="黑体" w:cs="黑体"/>
          <w:color w:val="000000" w:themeColor="text1"/>
          <w:spacing w:val="-6"/>
          <w:sz w:val="32"/>
          <w:szCs w:val="32"/>
          <w:shd w:val="clear" w:color="auto" w:fill="FFFFFF"/>
          <w14:textFill>
            <w14:solidFill>
              <w14:schemeClr w14:val="tx1"/>
            </w14:solidFill>
          </w14:textFill>
        </w:rPr>
        <w:t>记录方式</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第六条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按执法类别分别确定行政执法全过程记录内容和方式。</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第七条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执法全过程记录包括文字、音像记录等方式。文字与音像记录方式可同时使用，也可分别使用。</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第八条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文字记录应当符合以下规定：</w:t>
      </w:r>
    </w:p>
    <w:p>
      <w:pPr>
        <w:spacing w:line="580" w:lineRule="exact"/>
        <w:ind w:left="150" w:right="150" w:firstLine="616" w:firstLineChars="20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（一）行政执法文书的使用应当严格依照相关法律、法规和规章等规定，使用标准格式文本，文书制作严谨规范，文书送达合法有效；</w:t>
      </w:r>
    </w:p>
    <w:p>
      <w:pPr>
        <w:spacing w:line="580" w:lineRule="exact"/>
        <w:ind w:left="150" w:right="150" w:firstLine="616" w:firstLineChars="20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（二）调查报告类、核查报告类、调查笔录类文字资料应当记录事项清晰，写明执法人员姓名等基本信息；</w:t>
      </w:r>
    </w:p>
    <w:p>
      <w:pPr>
        <w:spacing w:line="580" w:lineRule="exact"/>
        <w:ind w:left="150" w:right="150" w:firstLine="616" w:firstLineChars="20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（三）各类表证单书的填写准确规范。需要签字盖章的，应确保签字盖章完整；</w:t>
      </w:r>
    </w:p>
    <w:p>
      <w:pPr>
        <w:spacing w:line="580" w:lineRule="exact"/>
        <w:ind w:left="150" w:right="150" w:firstLine="616" w:firstLineChars="20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（四）执法人员接收或存档的各种证件资料及复印件，应当完整、齐全、有效。</w:t>
      </w:r>
    </w:p>
    <w:p>
      <w:pPr>
        <w:spacing w:line="580" w:lineRule="exact"/>
        <w:ind w:left="147" w:right="147"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第九条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音像记录包括录音、录像、视频监控、照相等方式，根据《</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沁源</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行政执法音像记录事项清单》规定的记录环节、场所、方式、时间和过程等实施记录，应反映出执法现场环境特征。</w:t>
      </w:r>
    </w:p>
    <w:p>
      <w:pPr>
        <w:spacing w:line="580" w:lineRule="exact"/>
        <w:ind w:left="150" w:right="150"/>
        <w:jc w:val="center"/>
        <w:rPr>
          <w:rFonts w:hint="eastAsia" w:ascii="黑体" w:hAnsi="宋体" w:eastAsia="黑体" w:cs="黑体"/>
          <w:color w:val="000000" w:themeColor="text1"/>
          <w:spacing w:val="-6"/>
          <w:sz w:val="32"/>
          <w:szCs w:val="32"/>
          <w:shd w:val="clear" w:color="auto" w:fill="FFFFFF"/>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第三章  行政处罚全过程记录要求</w:t>
      </w:r>
    </w:p>
    <w:p>
      <w:pPr>
        <w:spacing w:line="580" w:lineRule="exact"/>
        <w:ind w:left="150" w:right="150"/>
        <w:jc w:val="left"/>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黑体" w:hAnsi="宋体" w:eastAsia="黑体" w:cs="黑体"/>
          <w:color w:val="000000" w:themeColor="text1"/>
          <w:spacing w:val="-6"/>
          <w:sz w:val="32"/>
          <w:szCs w:val="32"/>
          <w:shd w:val="clear" w:color="auto" w:fill="FFFFFF"/>
          <w14:textFill>
            <w14:solidFill>
              <w14:schemeClr w14:val="tx1"/>
            </w14:solidFill>
          </w14:textFill>
        </w:rPr>
        <w:t xml:space="preserve">第十条  </w:t>
      </w:r>
      <w:r>
        <w:rPr>
          <w:rFonts w:hint="eastAsia" w:ascii="仿宋_GB2312" w:hAnsi="仿宋_GB2312"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仿宋_GB2312" w:eastAsia="仿宋_GB2312" w:cs="仿宋_GB2312"/>
          <w:color w:val="000000" w:themeColor="text1"/>
          <w:spacing w:val="-6"/>
          <w:sz w:val="32"/>
          <w:szCs w:val="32"/>
          <w:shd w:val="clear" w:color="auto" w:fill="FFFFFF"/>
          <w:lang w:eastAsia="zh-CN"/>
          <w14:textFill>
            <w14:solidFill>
              <w14:schemeClr w14:val="tx1"/>
            </w14:solidFill>
          </w14:textFill>
        </w:rPr>
        <w:t>林业和</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对管辖范围内的林业行政处罚案件，填写《林业行政处罚</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立案</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登记表》，报</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负责人审批。对需要给予林业行政处罚的，在七日内予以立案；对不需要给予林业行政处罚的，不予立案。</w:t>
      </w:r>
    </w:p>
    <w:p>
      <w:pPr>
        <w:spacing w:before="150" w:line="580" w:lineRule="exact"/>
        <w:ind w:left="150" w:right="150"/>
        <w:rPr>
          <w:color w:val="000000" w:themeColor="text1"/>
          <w14:textFill>
            <w14:solidFill>
              <w14:schemeClr w14:val="tx1"/>
            </w14:solidFill>
          </w14:textFill>
        </w:rPr>
      </w:pPr>
      <w:r>
        <w:rPr>
          <w:rFonts w:ascii="仿宋_GB2312" w:hAnsi="微软雅黑" w:eastAsia="仿宋_GB2312" w:cs="仿宋_GB2312"/>
          <w:b/>
          <w:color w:val="000000" w:themeColor="text1"/>
          <w:spacing w:val="-6"/>
          <w:sz w:val="32"/>
          <w:szCs w:val="32"/>
          <w:shd w:val="clear" w:color="auto" w:fill="FFFFFF"/>
          <w14:textFill>
            <w14:solidFill>
              <w14:schemeClr w14:val="tx1"/>
            </w14:solidFill>
          </w14:textFill>
        </w:rPr>
        <w:t xml:space="preserve">    </w:t>
      </w: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第十一条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行政</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执法人员调查处理林业行政处罚案件时，应当向当事人或者有关人员出示行政执法证件，配带执法记录仪</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或其它的</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音像记录设备，对执法过程进行全程记录。</w:t>
      </w:r>
    </w:p>
    <w:p>
      <w:pPr>
        <w:spacing w:before="150"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第十二条</w:t>
      </w:r>
      <w:r>
        <w:rPr>
          <w:rFonts w:ascii="仿宋_GB2312" w:hAnsi="微软雅黑" w:eastAsia="仿宋_GB2312" w:cs="仿宋_GB2312"/>
          <w:b/>
          <w:color w:val="000000" w:themeColor="text1"/>
          <w:spacing w:val="-6"/>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收集证据时，在证据可能灭失或者以后难以取得的情况下，经</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负责人批准，可以先行登记保存，填写《</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先行登记</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保存</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证据</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通知单》，并在七日内及时做出处理决定，在此期间，当事人或者有关人员不得销毁或者转移证据。</w:t>
      </w:r>
    </w:p>
    <w:p>
      <w:pPr>
        <w:spacing w:before="150"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第十三条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执法人员应当全面、公正、客观地收集、调取各种证据。收集、调取证据应当制作笔录，由调查人和有关当事人在笔录上签名或者盖章。</w:t>
      </w:r>
    </w:p>
    <w:p>
      <w:pPr>
        <w:spacing w:line="580" w:lineRule="exact"/>
        <w:ind w:left="147" w:right="147" w:firstLine="603" w:firstLineChars="196"/>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第十四条</w:t>
      </w:r>
      <w:r>
        <w:rPr>
          <w:rFonts w:ascii="仿宋_GB2312" w:hAnsi="宋体" w:eastAsia="仿宋_GB2312" w:cs="宋体"/>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执法人员调查处理林业行政处罚案件应当询问当事人或者其他知情人（以下称被询问人），并制作《询问笔录》。被询问人</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拒绝回答的</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 xml:space="preserve">，不影响根据证据对案件事实的认定。 </w:t>
      </w:r>
    </w:p>
    <w:p>
      <w:pPr>
        <w:spacing w:line="580" w:lineRule="exact"/>
        <w:ind w:left="147" w:right="147"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 xml:space="preserve">询问笔录应当交被询问人核对，对于没有阅读能力的，应当向其宣读；被询问人提出补充或者改正的，应当允许；被询问人确认笔录无误后，应当在笔录上签名或者盖章；被询问人拒绝签名或者盖章的，应当在笔录上注明，询问人也应当在笔录上签名或者盖章。被询问人要求自行书写的，应当允许；必要时，林业行政执法人员也可以要求被询问人自行书写，自行书写的应当由本人签名或者盖章。 </w:t>
      </w:r>
    </w:p>
    <w:p>
      <w:pPr>
        <w:spacing w:before="150" w:line="580" w:lineRule="exact"/>
        <w:ind w:left="150" w:right="150" w:firstLine="603" w:firstLineChars="196"/>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第十五条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勘验、检查应当制作《勘验、检查笔录》，由勘验、检查参加人员和被邀请的见证人、有关当事人签名或者盖章。</w:t>
      </w:r>
      <w:r>
        <w:rPr>
          <w:rFonts w:ascii="仿宋_GB2312" w:hAnsi="宋体" w:eastAsia="仿宋_GB2312" w:cs="宋体"/>
          <w:color w:val="000000" w:themeColor="text1"/>
          <w:spacing w:val="-6"/>
          <w:kern w:val="0"/>
          <w:sz w:val="32"/>
          <w:szCs w:val="32"/>
          <w:shd w:val="clear" w:color="auto" w:fill="FFFFFF"/>
          <w14:textFill>
            <w14:solidFill>
              <w14:schemeClr w14:val="tx1"/>
            </w14:solidFill>
          </w14:textFill>
        </w:rPr>
        <w:t xml:space="preserve"> </w:t>
      </w:r>
    </w:p>
    <w:p>
      <w:pPr>
        <w:spacing w:before="150" w:line="580" w:lineRule="exact"/>
        <w:ind w:left="150" w:right="150" w:firstLine="603" w:firstLineChars="196"/>
        <w:rPr>
          <w:b/>
          <w:bCs/>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第十六条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以</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名义办理的林业行政处罚案件，经调查事实清楚、证据确凿的，应当填写《林业行政处罚意见书》，并连同《林业行政处罚</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立案</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登记表》和证据等有关材料，</w:t>
      </w:r>
      <w:r>
        <w:rPr>
          <w:rFonts w:hint="eastAsia" w:ascii="仿宋_GB2312" w:hAnsi="微软雅黑" w:eastAsia="仿宋_GB2312" w:cs="仿宋_GB2312"/>
          <w:bCs/>
          <w:color w:val="000000" w:themeColor="text1"/>
          <w:spacing w:val="-6"/>
          <w:kern w:val="0"/>
          <w:sz w:val="32"/>
          <w:szCs w:val="32"/>
          <w:shd w:val="clear" w:color="auto" w:fill="FFFFFF"/>
          <w14:textFill>
            <w14:solidFill>
              <w14:schemeClr w14:val="tx1"/>
            </w14:solidFill>
          </w14:textFill>
        </w:rPr>
        <w:t>报法制工作部门审核</w:t>
      </w:r>
      <w:r>
        <w:rPr>
          <w:rFonts w:ascii="仿宋_GB2312" w:hAnsi="微软雅黑" w:eastAsia="仿宋_GB2312" w:cs="仿宋_GB2312"/>
          <w:bCs/>
          <w:color w:val="000000" w:themeColor="text1"/>
          <w:spacing w:val="-6"/>
          <w:kern w:val="0"/>
          <w:sz w:val="32"/>
          <w:szCs w:val="32"/>
          <w:shd w:val="clear" w:color="auto" w:fill="FFFFFF"/>
          <w14:textFill>
            <w14:solidFill>
              <w14:schemeClr w14:val="tx1"/>
            </w14:solidFill>
          </w14:textFill>
        </w:rPr>
        <w:t>，再报</w:t>
      </w:r>
      <w:r>
        <w:rPr>
          <w:rFonts w:hint="eastAsia" w:ascii="仿宋_GB2312" w:hAnsi="微软雅黑" w:eastAsia="仿宋_GB2312" w:cs="仿宋_GB2312"/>
          <w:bCs/>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bCs/>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bCs/>
          <w:color w:val="000000" w:themeColor="text1"/>
          <w:spacing w:val="-6"/>
          <w:kern w:val="0"/>
          <w:sz w:val="32"/>
          <w:szCs w:val="32"/>
          <w:shd w:val="clear" w:color="auto" w:fill="FFFFFF"/>
          <w14:textFill>
            <w14:solidFill>
              <w14:schemeClr w14:val="tx1"/>
            </w14:solidFill>
          </w14:textFill>
        </w:rPr>
        <w:t>负责人审查决定</w:t>
      </w:r>
      <w:r>
        <w:rPr>
          <w:rFonts w:ascii="仿宋_GB2312" w:hAnsi="微软雅黑" w:eastAsia="仿宋_GB2312" w:cs="仿宋_GB2312"/>
          <w:b/>
          <w:bCs/>
          <w:color w:val="000000" w:themeColor="text1"/>
          <w:spacing w:val="-6"/>
          <w:kern w:val="0"/>
          <w:sz w:val="32"/>
          <w:szCs w:val="32"/>
          <w:shd w:val="clear" w:color="auto" w:fill="FFFFFF"/>
          <w14:textFill>
            <w14:solidFill>
              <w14:schemeClr w14:val="tx1"/>
            </w14:solidFill>
          </w14:textFill>
        </w:rPr>
        <w:t>。</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以</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名义办理的林业行政处罚案件，经调查事实清楚、证据确凿的，应当填写《林业行政处罚意见书》，并连同《林业行政处罚</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立案</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登记表》和证据等有关材料，由</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法制机构审核，</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提出</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审核</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意见，再报</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负责人审查决定。</w:t>
      </w:r>
    </w:p>
    <w:p>
      <w:pPr>
        <w:spacing w:before="150" w:line="580" w:lineRule="exact"/>
        <w:ind w:left="150" w:right="150" w:firstLine="603" w:firstLineChars="196"/>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第十七条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凡决定给予行政处罚的，应当制作《林业行政处罚决定书》。按照规定格式载明下列事项：</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（一）当事人的姓名或者名称、地址；</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（二）违反法律、法规、规章的事实和证据；</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（三）行政处罚的种类和依据；</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（四）行政处罚的履行方式和期限；</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（五）不服行政处罚决定，申请行政复议或者提起行政诉讼的途径和期限；</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（六）做出行政处罚决定的林业行政主管部门名称和做出决定的日期。</w:t>
      </w:r>
    </w:p>
    <w:p>
      <w:pPr>
        <w:spacing w:before="150"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第十八条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办理《中华人民共和国森林法》第三十九条、第四十二条、第四十三条、第四十四条规定做出的林业行政处罚，</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应当在《林业行政处罚决定书》上盖</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印</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章。以</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名义办理的各类林业行政处罚案件，</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应当在《林业行政处罚决定书》上盖</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印章。</w:t>
      </w:r>
    </w:p>
    <w:p>
      <w:pPr>
        <w:spacing w:before="150"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第十九条</w:t>
      </w:r>
      <w:r>
        <w:rPr>
          <w:rFonts w:ascii="仿宋_GB2312" w:hAnsi="微软雅黑" w:eastAsia="仿宋_GB2312" w:cs="仿宋_GB2312"/>
          <w:b/>
          <w:color w:val="000000" w:themeColor="text1"/>
          <w:spacing w:val="-6"/>
          <w:sz w:val="32"/>
          <w:szCs w:val="32"/>
          <w:shd w:val="clear" w:color="auto" w:fill="FFFFFF"/>
          <w14:textFill>
            <w14:solidFill>
              <w14:schemeClr w14:val="tx1"/>
            </w14:solidFill>
          </w14:textFill>
        </w:rPr>
        <w:t xml:space="preserve"> </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做出责令停产停业、吊销许可证、较大数额罚款等行政处罚决定之前，应当告知当事人有要求举行听证的权利；当事人要求听证的，以</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名义办理的各类林业行政处罚案件由</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kern w:val="0"/>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法制工作机构组织听证，</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办理以自己名义查处的林业行政处罚案件由</w:t>
      </w:r>
      <w:r>
        <w:rPr>
          <w:rFonts w:hint="eastAsia" w:ascii="仿宋_GB2312" w:hAnsi="微软雅黑"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微软雅黑"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组织听证，</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制发《举行听证通知》，制作行政处罚听证笔录。听证依照法定程序进行。</w:t>
      </w:r>
    </w:p>
    <w:p>
      <w:pPr>
        <w:spacing w:before="150" w:line="580" w:lineRule="exact"/>
        <w:ind w:left="150" w:right="150" w:firstLine="603" w:firstLineChars="196"/>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第二十条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《林业行政处罚决定书》应当及时送达被处罚人，并由被处罚人在《林业行政处罚送达回证》上签名或者盖章；被处罚人不在，可以交给其成年家属或者所在单位的负责人代收，并在送达回证上签名或盖章</w:t>
      </w:r>
      <w:r>
        <w:rPr>
          <w:rFonts w:ascii="仿宋_GB2312" w:hAnsi="宋体" w:eastAsia="仿宋_GB2312" w:cs="仿宋_GB2312"/>
          <w:color w:val="000000" w:themeColor="text1"/>
          <w:spacing w:val="-6"/>
          <w:kern w:val="0"/>
          <w:sz w:val="32"/>
          <w:szCs w:val="32"/>
          <w:shd w:val="clear" w:color="auto" w:fill="FFFFFF"/>
          <w14:textFill>
            <w14:solidFill>
              <w14:schemeClr w14:val="tx1"/>
            </w14:solidFill>
          </w14:textFill>
        </w:rPr>
        <w:t>。</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被处罚人或代收人拒绝接收或签名、盖章的，送达人可以邀请其邻居或其单位有关人员到场，说明情况，把《林业行政处罚决定书》留在其住处或其单位，并在送达回证上记明拒绝的事由、送达的日期，由送达人签名，即视为送达。</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被处罚人不在本地的，可以委托被处罚人所在地的林业行政主管部门代为送达，也可以挂号邮寄送达。邮寄送达的，以挂号回执上注明的收件日期为送达日期。</w:t>
      </w:r>
      <w:r>
        <w:rPr>
          <w:rFonts w:ascii="仿宋_GB2312" w:hAnsi="宋体" w:eastAsia="仿宋_GB2312" w:cs="宋体"/>
          <w:color w:val="000000" w:themeColor="text1"/>
          <w:spacing w:val="-6"/>
          <w:kern w:val="0"/>
          <w:sz w:val="32"/>
          <w:szCs w:val="32"/>
          <w:shd w:val="clear" w:color="auto" w:fill="FFFFFF"/>
          <w14:textFill>
            <w14:solidFill>
              <w14:schemeClr w14:val="tx1"/>
            </w14:solidFill>
          </w14:textFill>
        </w:rPr>
        <w:t xml:space="preserve"> </w:t>
      </w:r>
    </w:p>
    <w:p>
      <w:pPr>
        <w:spacing w:before="150" w:line="580" w:lineRule="exact"/>
        <w:ind w:left="150" w:right="150" w:firstLine="603" w:firstLineChars="196"/>
        <w:rPr>
          <w:color w:val="000000" w:themeColor="text1"/>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第二十一条</w:t>
      </w:r>
      <w:r>
        <w:rPr>
          <w:rFonts w:ascii="仿宋_GB2312" w:hAnsi="宋体" w:eastAsia="仿宋_GB2312" w:cs="宋体"/>
          <w:b/>
          <w:color w:val="000000" w:themeColor="text1"/>
          <w:spacing w:val="-6"/>
          <w:kern w:val="0"/>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《林业行政处罚决定书》送达后，承办人应当将案件材料立卷。</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林业行政处罚案件卷宗一般包括：卷皮、目录、案件登记表、证据材料、林业行政处罚意见书、林业行政处罚决定书和其他材料。</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林业行政处罚案件办理终结，承办人应当根据一案一卷的原则，将案件的全部材料立卷归档。</w:t>
      </w:r>
    </w:p>
    <w:p>
      <w:pPr>
        <w:spacing w:before="150" w:line="580" w:lineRule="exact"/>
        <w:ind w:left="150" w:right="150" w:firstLine="603" w:firstLineChars="196"/>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pPr>
      <w:r>
        <w:rPr>
          <w:rFonts w:hint="eastAsia" w:ascii="黑体" w:hAnsi="宋体" w:eastAsia="黑体" w:cs="黑体"/>
          <w:color w:val="000000" w:themeColor="text1"/>
          <w:spacing w:val="-6"/>
          <w:kern w:val="0"/>
          <w:sz w:val="32"/>
          <w:szCs w:val="32"/>
          <w:shd w:val="clear" w:color="auto" w:fill="FFFFFF"/>
          <w14:textFill>
            <w14:solidFill>
              <w14:schemeClr w14:val="tx1"/>
            </w14:solidFill>
          </w14:textFill>
        </w:rPr>
        <w:t>第二十二条</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 xml:space="preserve">  </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县</w:t>
      </w:r>
      <w:r>
        <w:rPr>
          <w:rFonts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森林植物检疫机构按照《植物检疫条例》规定办理植物检疫行政处罚案件参照</w:t>
      </w:r>
      <w:r>
        <w:rPr>
          <w:rFonts w:hint="eastAsia" w:ascii="仿宋_GB2312" w:hAnsi="微软雅黑" w:eastAsia="仿宋_GB2312" w:cs="仿宋_GB2312"/>
          <w:color w:val="000000" w:themeColor="text1"/>
          <w:spacing w:val="-6"/>
          <w:kern w:val="0"/>
          <w:sz w:val="32"/>
          <w:szCs w:val="32"/>
          <w:shd w:val="clear" w:color="auto" w:fill="FFFFFF"/>
          <w14:textFill>
            <w14:solidFill>
              <w14:schemeClr w14:val="tx1"/>
            </w14:solidFill>
          </w14:textFill>
        </w:rPr>
        <w:t>林业行政处罚程序规定办理。</w:t>
      </w:r>
    </w:p>
    <w:p>
      <w:pPr>
        <w:spacing w:before="150" w:line="580" w:lineRule="exact"/>
        <w:ind w:right="150"/>
        <w:jc w:val="center"/>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第四章  行政强制全过程记录要求</w:t>
      </w:r>
    </w:p>
    <w:p>
      <w:pPr>
        <w:overflowPunct w:val="0"/>
        <w:autoSpaceDE w:val="0"/>
        <w:spacing w:line="580" w:lineRule="exact"/>
        <w:ind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第二十三条</w:t>
      </w:r>
      <w:r>
        <w:rPr>
          <w:rFonts w:ascii="仿宋_GB2312" w:hAnsi="微软雅黑" w:eastAsia="仿宋_GB2312" w:cs="仿宋_GB2312"/>
          <w:b/>
          <w:color w:val="000000" w:themeColor="text1"/>
          <w:spacing w:val="-6"/>
          <w:sz w:val="32"/>
          <w:szCs w:val="32"/>
          <w:shd w:val="clear" w:color="auto" w:fill="FFFFFF"/>
          <w14:textFill>
            <w14:solidFill>
              <w14:schemeClr w14:val="tx1"/>
            </w14:solidFill>
          </w14:textFill>
        </w:rPr>
        <w:t xml:space="preserve">  </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采取行政强制措施前，行政执法人员应当根据执法办案系统中现有的法律文书式样，制作强制审批表。经批准同意采取行政强制措施或治安行政强制的，执法人员应当制作相关法律文书。</w:t>
      </w:r>
    </w:p>
    <w:p>
      <w:pPr>
        <w:spacing w:line="580" w:lineRule="exact"/>
        <w:ind w:left="147" w:right="147"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第二十四条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采取封存、扣押措施的，封存、扣押清单应当由执法人员、当事人或者见证人签字（盖章），并详细载明封存、扣押的时间、地点，封存、扣押的财物、设施的基本信息、数量及状况等事项。</w:t>
      </w:r>
    </w:p>
    <w:p>
      <w:pPr>
        <w:spacing w:before="150" w:line="580" w:lineRule="exact"/>
        <w:ind w:left="150" w:right="150" w:firstLine="603" w:firstLineChars="196"/>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第二十五条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被采取行政强制措施的财物，应妥善保管，建立封存、扣押财物台帐。对封存、扣押的财物不得擅自动用，调换或毁损。</w:t>
      </w:r>
    </w:p>
    <w:p>
      <w:pPr>
        <w:spacing w:before="150" w:line="580" w:lineRule="exact"/>
        <w:ind w:left="150" w:right="150"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对封存的财物，应当加封封条，保管人不得随便动用。财物由当事人自己保管的，应当由当事人出具保证书。</w:t>
      </w:r>
    </w:p>
    <w:p>
      <w:pPr>
        <w:spacing w:before="150" w:line="580" w:lineRule="exact"/>
        <w:ind w:left="150" w:right="150"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对封存、扣押的财物需委托管理的，应出具封存、扣押财物委托保管通知书，注明委托保管财物种类、数量、质量等明显特征。</w:t>
      </w:r>
    </w:p>
    <w:p>
      <w:pPr>
        <w:spacing w:before="150" w:line="580" w:lineRule="exact"/>
        <w:ind w:left="150" w:right="150"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对于易腐烂变质的物品，法律、法规规定可以直接先行处理的，或当事人同意先行处理的，经执法机构负责人批准后，采取相关措施留存证据，方可进行变价处理，并详细填写物品处理记录。</w:t>
      </w:r>
    </w:p>
    <w:p>
      <w:pPr>
        <w:spacing w:before="150"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第二十六条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采取封存、扣押措施后，应当及时查清事实，在三十日内作出处理决定。情况复杂的，经负责人批准，可以延长，但是延长期限不得超过三十日。</w:t>
      </w:r>
    </w:p>
    <w:p>
      <w:pPr>
        <w:spacing w:before="150"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第二十七条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对封存、扣押的财物作出以下处理前，应当制作并送达封存、扣押告知书：</w:t>
      </w:r>
    </w:p>
    <w:p>
      <w:pPr>
        <w:spacing w:before="150" w:line="580" w:lineRule="exact"/>
        <w:ind w:left="150" w:right="150"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（一）延长封存、扣押期限的；</w:t>
      </w:r>
    </w:p>
    <w:p>
      <w:pPr>
        <w:spacing w:before="150" w:line="580" w:lineRule="exact"/>
        <w:ind w:left="150" w:right="150"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（二）进行检测、检验、检疫或者技术鉴定的；</w:t>
      </w:r>
    </w:p>
    <w:p>
      <w:pPr>
        <w:spacing w:line="580" w:lineRule="exact"/>
        <w:ind w:left="147" w:right="147"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（三）依法没收或者销毁的。</w:t>
      </w:r>
    </w:p>
    <w:p>
      <w:pPr>
        <w:spacing w:line="580" w:lineRule="exact"/>
        <w:ind w:left="147" w:right="147" w:firstLine="770" w:firstLineChars="25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第二十八条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按《中华人民共和国行政强制法》第二十八条规定解除封存、扣押的，应当及时制作解除封存、扣押决定书和退还财物清单，经负责人批准后送达当事人。</w:t>
      </w:r>
    </w:p>
    <w:p>
      <w:pPr>
        <w:spacing w:before="150" w:line="580" w:lineRule="exact"/>
        <w:ind w:left="150" w:right="150" w:firstLine="770" w:firstLineChars="25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退还财物清单应当由执法人员、当事人或者见证人签字（盖章），并载明退还时间、地点，退还封存、扣押的财物的基本信息、数量及状况等事项。已先行依法处理的财物，应返还处理所得全部价款。</w:t>
      </w:r>
    </w:p>
    <w:p>
      <w:pPr>
        <w:spacing w:before="150" w:line="580" w:lineRule="exact"/>
        <w:ind w:right="150"/>
        <w:jc w:val="center"/>
        <w:rPr>
          <w:rFonts w:hint="eastAsia" w:ascii="黑体" w:hAnsi="宋体" w:eastAsia="黑体" w:cs="黑体"/>
          <w:color w:val="000000" w:themeColor="text1"/>
          <w:spacing w:val="-6"/>
          <w:sz w:val="32"/>
          <w:szCs w:val="32"/>
          <w:shd w:val="clear" w:color="auto" w:fill="FFFFFF"/>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第五章  行政检查全过程记录要求</w:t>
      </w:r>
    </w:p>
    <w:p>
      <w:pPr>
        <w:spacing w:before="150" w:line="580" w:lineRule="exact"/>
        <w:ind w:right="150"/>
        <w:jc w:val="left"/>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第二十九条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行政检查过程中形成的如下记录应按规定形成案卷：</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（一）案源登记相关材料，如举报材料、抽查计划、上级交办、其他部门移送等；</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（二）审批意见或审批立案材料；随机选定执法人员、检查对象的证明材料；</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（三）检查通知书或者笔录；</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（四）询问笔录、调查笔录、现场笔录、勘验笔录、鉴定结论等证明材料；</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（五）依法由当事人或证明人签名的提取财物、资料原件清单，财物、资料返还当事人的证明材料（如签收等）；</w:t>
      </w:r>
    </w:p>
    <w:p>
      <w:pPr>
        <w:spacing w:line="580" w:lineRule="exact"/>
        <w:ind w:left="147" w:right="147"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（六）回避申请与决定、变更检查人员或时间、延长检查时限、检查中止或终结（指无法继续检查，不同于检查完毕）等程序性事项证明材料；</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（七）检查报告。如涉及违法行为需要给予行政处罚的，转为行政处罚程序或依法移交，并做好相关记录；</w:t>
      </w:r>
    </w:p>
    <w:p>
      <w:pPr>
        <w:spacing w:before="150" w:line="580" w:lineRule="exact"/>
        <w:ind w:left="150" w:right="150" w:firstLine="603" w:firstLineChars="196"/>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（八）证明相关人员签收的材料，如通知书上的签名及接收时间、送达回证等；</w:t>
      </w:r>
    </w:p>
    <w:p>
      <w:pPr>
        <w:spacing w:before="150" w:line="580" w:lineRule="exact"/>
        <w:ind w:left="150" w:right="150" w:firstLine="616" w:firstLineChars="200"/>
        <w:rPr>
          <w:color w:val="000000" w:themeColor="text1"/>
          <w14:textFill>
            <w14:solidFill>
              <w14:schemeClr w14:val="tx1"/>
            </w14:solidFill>
          </w14:textFill>
        </w:rPr>
      </w:pP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（九）执法机构认为有必要归档保存的其他相关材料。</w:t>
      </w:r>
    </w:p>
    <w:p>
      <w:pPr>
        <w:spacing w:before="150" w:line="580" w:lineRule="exact"/>
        <w:ind w:left="150" w:right="150" w:firstLine="603" w:firstLineChars="196"/>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第三十条</w:t>
      </w:r>
      <w:r>
        <w:rPr>
          <w:rFonts w:ascii="仿宋_GB2312" w:hAnsi="微软雅黑" w:eastAsia="仿宋_GB2312" w:cs="仿宋_GB2312"/>
          <w:color w:val="000000" w:themeColor="text1"/>
          <w:spacing w:val="-6"/>
          <w:sz w:val="32"/>
          <w:szCs w:val="32"/>
          <w:shd w:val="clear" w:color="auto" w:fill="FFFFFF"/>
          <w14:textFill>
            <w14:solidFill>
              <w14:schemeClr w14:val="tx1"/>
            </w14:solidFill>
          </w14:textFill>
        </w:rPr>
        <w:t xml:space="preserve">  行政检查全过程记录的制作应符合档案有关规定。</w:t>
      </w:r>
    </w:p>
    <w:p>
      <w:pPr>
        <w:spacing w:line="580" w:lineRule="exact"/>
        <w:ind w:left="150" w:right="150"/>
        <w:jc w:val="center"/>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第六章 执法记录的管理与使用</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第三十一条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除法律、法规和规章另有规定的之外，执法机构应当在行政执法事项办理完毕之日起三十日内，将执法过程全部文字和音像记录资料形成案卷，按照《中华人民共和国档案法》等有关规定归档、保存。</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第三十二条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音像记录需要作为证据使用的，应当按照有关视听资料证据的规定，转化至相关存储媒介中，并制作说明附卷。</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第三十三条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当事人根据需要申请复制相关执法全过程记录信息的，经本机关负责人同意，可复制使用。</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第三十四条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案件需要移送的，按照移送有关规定执行，并做好交接记录。</w:t>
      </w:r>
    </w:p>
    <w:p>
      <w:pPr>
        <w:overflowPunct w:val="0"/>
        <w:autoSpaceDE w:val="0"/>
        <w:spacing w:line="580" w:lineRule="exact"/>
        <w:ind w:left="147" w:right="147"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第三十五条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行政机关、司法机关、当事人以外的公民、法人、社会组织申请查阅相关执法全过程记录信息的，依照信息公开有关规定执行。</w:t>
      </w:r>
    </w:p>
    <w:p>
      <w:pPr>
        <w:overflowPunct w:val="0"/>
        <w:autoSpaceDE w:val="0"/>
        <w:spacing w:line="580" w:lineRule="exact"/>
        <w:ind w:left="147" w:right="147"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第三十六条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涉及国家秘密、商业秘密和个人隐私的执法记录信息，应严格按照保密工作的有关规定和权限进行管理。</w:t>
      </w:r>
    </w:p>
    <w:p>
      <w:pPr>
        <w:spacing w:line="580" w:lineRule="exact"/>
        <w:ind w:left="150" w:right="150"/>
        <w:jc w:val="center"/>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第七章 监督与责任</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第三十七条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实施林业行政执法全过程记录中有下列情形之一的，责令限期整改；情节严重或造成严重后果的，对直接负责的主管人员和其他责任人员依法给予行政处分；构成犯罪的，依法追究刑事责任。</w:t>
      </w:r>
    </w:p>
    <w:p>
      <w:pPr>
        <w:spacing w:line="580" w:lineRule="exact"/>
        <w:ind w:left="150" w:right="15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（一）不制作或不按要求制作执法全过程记录的；</w:t>
      </w:r>
    </w:p>
    <w:p>
      <w:pPr>
        <w:spacing w:line="580" w:lineRule="exact"/>
        <w:ind w:left="150" w:right="15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（二）违反规定泄露执法记录信息造成严重后果的；</w:t>
      </w:r>
    </w:p>
    <w:p>
      <w:pPr>
        <w:spacing w:line="580" w:lineRule="exact"/>
        <w:ind w:left="150" w:right="15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（三）故意毁损，随意删除、修改执法全过程中文字或音像记录信息的；</w:t>
      </w:r>
    </w:p>
    <w:p>
      <w:pPr>
        <w:spacing w:line="580" w:lineRule="exact"/>
        <w:ind w:left="150" w:right="15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hint="eastAsia" w:ascii="仿宋_GB2312"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（四）不按规定储存或维护致使执法记录损毁、丢失，造成严重后果的；</w:t>
      </w:r>
    </w:p>
    <w:p>
      <w:pPr>
        <w:spacing w:line="580" w:lineRule="exact"/>
        <w:ind w:right="150" w:firstLine="616" w:firstLineChars="200"/>
        <w:rPr>
          <w:color w:val="000000" w:themeColor="text1"/>
          <w14:textFill>
            <w14:solidFill>
              <w14:schemeClr w14:val="tx1"/>
            </w14:solidFill>
          </w14:textFill>
        </w:rPr>
      </w:pP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（五）其他违反执法全过程记录规定，造成严重后果的。</w:t>
      </w:r>
    </w:p>
    <w:p>
      <w:pPr>
        <w:spacing w:line="580" w:lineRule="exact"/>
        <w:ind w:left="150" w:right="150"/>
        <w:jc w:val="center"/>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第八章 附 则</w:t>
      </w:r>
    </w:p>
    <w:p>
      <w:pPr>
        <w:spacing w:line="580" w:lineRule="exact"/>
        <w:ind w:left="150" w:right="150" w:firstLine="616" w:firstLineChars="200"/>
        <w:rPr>
          <w:color w:val="000000" w:themeColor="text1"/>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第三十八条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t>本办法由</w:t>
      </w:r>
      <w:r>
        <w:rPr>
          <w:rFonts w:hint="eastAsia" w:ascii="仿宋_GB2312" w:hAnsi="Times New Roman"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Times New Roman"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Times New Roman" w:eastAsia="仿宋_GB2312" w:cs="仿宋_GB2312"/>
          <w:color w:val="000000" w:themeColor="text1"/>
          <w:spacing w:val="-6"/>
          <w:sz w:val="32"/>
          <w:szCs w:val="32"/>
          <w:shd w:val="clear" w:color="auto" w:fill="FFFFFF"/>
          <w14:textFill>
            <w14:solidFill>
              <w14:schemeClr w14:val="tx1"/>
            </w14:solidFill>
          </w14:textFill>
        </w:rPr>
        <w:t>由推行三项制度领导小组</w:t>
      </w:r>
      <w:r>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t>负责解释。</w:t>
      </w:r>
    </w:p>
    <w:p>
      <w:pPr>
        <w:spacing w:line="580" w:lineRule="exact"/>
        <w:ind w:left="150" w:right="150" w:firstLine="643"/>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pPr>
      <w:r>
        <w:rPr>
          <w:rFonts w:hint="eastAsia" w:ascii="黑体" w:hAnsi="宋体" w:eastAsia="黑体" w:cs="黑体"/>
          <w:color w:val="000000" w:themeColor="text1"/>
          <w:spacing w:val="-6"/>
          <w:sz w:val="32"/>
          <w:szCs w:val="32"/>
          <w:shd w:val="clear" w:color="auto" w:fill="FFFFFF"/>
          <w14:textFill>
            <w14:solidFill>
              <w14:schemeClr w14:val="tx1"/>
            </w14:solidFill>
          </w14:textFill>
        </w:rPr>
        <w:t>第三十九条</w:t>
      </w:r>
      <w:r>
        <w:rPr>
          <w:rFonts w:ascii="仿宋" w:hAnsi="仿宋" w:eastAsia="仿宋_GB2312" w:cs="仿宋_GB2312"/>
          <w:color w:val="000000" w:themeColor="text1"/>
          <w:spacing w:val="-6"/>
          <w:sz w:val="32"/>
          <w:szCs w:val="32"/>
          <w:shd w:val="clear" w:color="auto" w:fill="FFFFFF"/>
          <w14:textFill>
            <w14:solidFill>
              <w14:schemeClr w14:val="tx1"/>
            </w14:solidFill>
          </w14:textFill>
        </w:rPr>
        <w:t xml:space="preserve">  </w:t>
      </w:r>
      <w:r>
        <w:rPr>
          <w:rFonts w:ascii="仿宋_GB2312" w:hAnsi="仿宋" w:eastAsia="仿宋_GB2312" w:cs="仿宋_GB2312"/>
          <w:color w:val="000000" w:themeColor="text1"/>
          <w:spacing w:val="-6"/>
          <w:sz w:val="32"/>
          <w:szCs w:val="32"/>
          <w:shd w:val="clear" w:color="auto" w:fill="FFFFFF"/>
          <w14:textFill>
            <w14:solidFill>
              <w14:schemeClr w14:val="tx1"/>
            </w14:solidFill>
          </w14:textFill>
        </w:rPr>
        <w:t>本办法自印发之日起施行，</w:t>
      </w:r>
      <w:r>
        <w:rPr>
          <w:rFonts w:hint="eastAsia" w:ascii="仿宋_GB2312" w:hAnsi="Times New Roman" w:eastAsia="仿宋_GB2312" w:cs="仿宋_GB2312"/>
          <w:color w:val="000000" w:themeColor="text1"/>
          <w:spacing w:val="-6"/>
          <w:sz w:val="32"/>
          <w:szCs w:val="32"/>
          <w:shd w:val="clear" w:color="auto" w:fill="FFFFFF"/>
          <w14:textFill>
            <w14:solidFill>
              <w14:schemeClr w14:val="tx1"/>
            </w14:solidFill>
          </w14:textFill>
        </w:rPr>
        <w:t>县</w:t>
      </w:r>
      <w:r>
        <w:rPr>
          <w:rFonts w:hint="eastAsia" w:ascii="仿宋_GB2312" w:hAnsi="Times New Roman" w:eastAsia="仿宋_GB2312" w:cs="仿宋_GB2312"/>
          <w:color w:val="000000" w:themeColor="text1"/>
          <w:spacing w:val="-6"/>
          <w:sz w:val="32"/>
          <w:szCs w:val="32"/>
          <w:shd w:val="clear" w:color="auto" w:fill="FFFFFF"/>
          <w:lang w:eastAsia="zh-CN"/>
          <w14:textFill>
            <w14:solidFill>
              <w14:schemeClr w14:val="tx1"/>
            </w14:solidFill>
          </w14:textFill>
        </w:rPr>
        <w:t>林业和草原局</w:t>
      </w:r>
      <w:r>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t>现行林业行政执法相关制度与本办法不一致的，以本办法为准。</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沁源县林业和草原局</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重大执法决定法制审核办法</w:t>
      </w:r>
    </w:p>
    <w:p>
      <w:pPr>
        <w:overflowPunct w:val="0"/>
        <w:autoSpaceDE w:val="0"/>
        <w:spacing w:line="560" w:lineRule="exact"/>
        <w:ind w:right="150"/>
        <w:jc w:val="center"/>
        <w:rPr>
          <w:rFonts w:hint="eastAsia" w:ascii="仿宋_GB2312" w:hAnsi="方正小标宋简体" w:eastAsia="仿宋_GB2312" w:cs="方正小标宋简体"/>
          <w:color w:val="000000" w:themeColor="text1"/>
          <w:spacing w:val="-6"/>
          <w:sz w:val="44"/>
          <w:szCs w:val="44"/>
          <w:shd w:val="clear" w:color="auto" w:fill="FFFFFF"/>
          <w14:textFill>
            <w14:solidFill>
              <w14:schemeClr w14:val="tx1"/>
            </w14:solidFill>
          </w14:textFill>
        </w:rPr>
      </w:pP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第一条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为了加强对重大行政执法行为的监督，保护公民、法人和其他组织的合法权益，促进林业依法行政。根据《</w:t>
      </w:r>
      <w:r>
        <w:rPr>
          <w:rFonts w:hint="eastAsia" w:ascii="仿宋_GB2312" w:hAnsi="仿宋" w:eastAsia="仿宋_GB2312" w:cs="仿宋"/>
          <w:color w:val="000000" w:themeColor="text1"/>
          <w:spacing w:val="-6"/>
          <w:sz w:val="32"/>
          <w:szCs w:val="32"/>
          <w:shd w:val="clear" w:color="auto" w:fill="FFFFFF"/>
          <w:lang w:eastAsia="zh-CN"/>
          <w14:textFill>
            <w14:solidFill>
              <w14:schemeClr w14:val="tx1"/>
            </w14:solidFill>
          </w14:textFill>
        </w:rPr>
        <w:t>沁源县人民政府办公室关于转发长治市行政执法公示、全过程记录和重大行政执法决定法制审核等三个办法的通知</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》和有关法律、法规、规章的规定，结合县</w:t>
      </w:r>
      <w:r>
        <w:rPr>
          <w:rFonts w:hint="eastAsia" w:ascii="仿宋_GB2312" w:hAnsi="仿宋" w:eastAsia="仿宋_GB2312" w:cs="仿宋"/>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行政执法工作实际，制定本办法。</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 xml:space="preserve">第二条 </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本办法所称重大行政执法决定法制审核，是指县</w:t>
      </w:r>
      <w:r>
        <w:rPr>
          <w:rFonts w:hint="eastAsia" w:ascii="仿宋_GB2312" w:hAnsi="仿宋" w:eastAsia="仿宋_GB2312" w:cs="仿宋"/>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作出重大行政执法决定之前，由县</w:t>
      </w:r>
      <w:r>
        <w:rPr>
          <w:rFonts w:hint="eastAsia" w:ascii="仿宋_GB2312" w:hAnsi="仿宋" w:eastAsia="仿宋_GB2312" w:cs="仿宋"/>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法制工作机构（以下简称“法制工作机构”）对其合法性、适当性进行审核的活动。</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 xml:space="preserve">第三条 </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法制工作机构负责对下列重大行政执法决定法制审核：</w:t>
      </w:r>
    </w:p>
    <w:p>
      <w:pPr>
        <w:spacing w:line="560" w:lineRule="exact"/>
        <w:ind w:left="150" w:right="150" w:firstLine="619" w:firstLineChars="200"/>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（一）重大行政处罚决定法制审核的范围。</w:t>
      </w:r>
    </w:p>
    <w:p>
      <w:pPr>
        <w:overflowPunct w:val="0"/>
        <w:autoSpaceDE w:val="0"/>
        <w:spacing w:before="150"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1、对个人处以五千元（含）以上的罚款，对法人处以3万元（含）以上的罚款；</w:t>
      </w:r>
    </w:p>
    <w:p>
      <w:pPr>
        <w:overflowPunct w:val="0"/>
        <w:autoSpaceDE w:val="0"/>
        <w:spacing w:before="150"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2、没收非法所得或者没收非法财物相当于第1项对应的数量；</w:t>
      </w:r>
    </w:p>
    <w:p>
      <w:pPr>
        <w:overflowPunct w:val="0"/>
        <w:autoSpaceDE w:val="0"/>
        <w:spacing w:before="150"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3、吊销许可证；</w:t>
      </w:r>
    </w:p>
    <w:p>
      <w:pPr>
        <w:overflowPunct w:val="0"/>
        <w:autoSpaceDE w:val="0"/>
        <w:spacing w:before="150"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4、责令停产停业；</w:t>
      </w:r>
    </w:p>
    <w:p>
      <w:pPr>
        <w:overflowPunct w:val="0"/>
        <w:autoSpaceDE w:val="0"/>
        <w:spacing w:before="150"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5、其他具有重大影响的林业行政处罚决定。</w:t>
      </w:r>
    </w:p>
    <w:p>
      <w:pPr>
        <w:spacing w:line="560" w:lineRule="exact"/>
        <w:ind w:left="150" w:right="150" w:firstLine="619" w:firstLineChars="200"/>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（二）重大行政强制决定法制审核的范围。</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按规定应当实施且非应当场实施的行政强制。</w:t>
      </w:r>
    </w:p>
    <w:p>
      <w:pPr>
        <w:spacing w:line="560" w:lineRule="exact"/>
        <w:ind w:left="150" w:right="150" w:firstLine="619" w:firstLineChars="200"/>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pPr>
      <w:r>
        <w:rPr>
          <w:rFonts w:hint="eastAsia" w:ascii="楷体_GB2312" w:hAnsi="楷体_GB2312" w:eastAsia="楷体_GB2312" w:cs="楷体_GB2312"/>
          <w:b/>
          <w:bCs/>
          <w:color w:val="000000" w:themeColor="text1"/>
          <w:spacing w:val="-6"/>
          <w:sz w:val="32"/>
          <w:szCs w:val="32"/>
          <w:highlight w:val="none"/>
          <w:shd w:val="clear" w:color="auto" w:fill="FFFFFF"/>
          <w14:textFill>
            <w14:solidFill>
              <w14:schemeClr w14:val="tx1"/>
            </w14:solidFill>
          </w14:textFill>
        </w:rPr>
        <w:t>（三）其他法律、法规、规章规定应当进行法制审核的。</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第四条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重大行政执法决定签发前，由承办机构（指行使行政执法权的局机关执法科室和法律、法规授权的直属单位及依法受县</w:t>
      </w:r>
      <w:r>
        <w:rPr>
          <w:rFonts w:hint="eastAsia" w:ascii="仿宋_GB2312" w:hAnsi="仿宋" w:eastAsia="仿宋_GB2312" w:cs="仿宋"/>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委托从事行政执法活动的直属单位）报其主管局领导同意后送审；应当提交局机关负责人集体讨论的，集体讨论前送审。</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需要征求局内业务科室、单位或者其他部门意见的，承办机构应当在送审前征求意见。</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承办机构应当预留合理的法制审核时间。</w:t>
      </w:r>
    </w:p>
    <w:p>
      <w:pPr>
        <w:overflowPunct w:val="0"/>
        <w:autoSpaceDE w:val="0"/>
        <w:spacing w:before="150"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第五条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送审时，承办机构应当提交如下材料：</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（一）重大行政执法决定建议意见及情况说明；</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（二）草拟的重大行政执法决定书；</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（三）案件材料；</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（四）经听证或者评估的，还应当提交听证笔录或者评估报告；</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（五）重大行政执法决定案卷移交清单；</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（六）其他需要提交的材料。</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重大行政执法决定建议意见及情况说明应当载明认定的事实和认定的证据、适用的法律法规规章依据、执行裁量基准情况等内容。超出局职权范围需要移送其他部门或者涉嫌犯罪需要移送司法机关的，一并提出移送意见。</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法制工作机构认为材料不齐全的，可以要求承办机构在指定时间内予以补充。</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承办机构对其提交材料的客观性与真实性负责。</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第六条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法制工作机构对拟作出的重大行政执法决定应从以下几个方面进行审核：</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（一）行政执法主体是否合法；</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（二）主要事实是否清楚，证据是否确凿、充分；</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（三）适用法律、法规、规章是否准确，执行裁量基准是否适当；</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（四）程序是否合法；</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（五）是否有超越本机关职权范围或滥用职权的情形；</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（六）草拟的行政执法文书格式是否规范、表述是否准确，内容是否完备；</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（七）其他应当审核的内容。</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第七条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法制工作机构在审核过程中有权调阅行政执法活动相关材料；必要时也可以向当事人进行调查，相关单位和个人应当予以协助配合。</w:t>
      </w:r>
    </w:p>
    <w:p>
      <w:pPr>
        <w:overflowPunct w:val="0"/>
        <w:autoSpaceDE w:val="0"/>
        <w:spacing w:line="560" w:lineRule="exact"/>
        <w:ind w:left="147" w:right="147"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第八条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法制工作机构在审核过程中可以组织林业、法律等有关专家、顾问或者委托第三方专业机构研讨论证，并邀请承办机构参加；必要时，对复杂、疑难案件征询上级部门意见或者提请执法解释。</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第九条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法制工作机构在收到送审材料后，应在7个工作日内审核完毕；案件复杂的或者特殊情况的，经局机关负责人批准可以延长5个工作日。</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补充材料、专家论证、征询意见、提请解释期间不计入审核期限。</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法制审核以书面审查为主，法制工作机构对拟作出的重大行政执法决定进行审核后，根据不同情况，提出相应的书面意见或建议：</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（一）主要事实清楚、证据确凿、定性准确、程序合法的，提出同意的意见；</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（二）主要事实不清，证据不足的，提出继续调查或不予作出行政执法决定的建议；</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（三）定性不准、适用法律、法规、规章不准确和裁量基准不当的，提出变更意见；</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（四）执法文书不规范、程序不合法的，提出纠正意见；</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（五）超出本机关管辖范围或涉嫌犯罪的，提出移送意见。</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法制工作机构对重大行政执法决定提出继续调查、变更、程序纠正意见的，由承办机构调查、变更、纠正后重新送审。</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第十一条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法制工作机构提出的意见或建议，经主管法制工作机构的局领导同意后，交承办机构。 </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第十二条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承办机构对法制工作机构审核意见和建议应当研究采纳；有异议的应当与法制工作机构协商沟通，经沟通达不成一致意见的，将双方意见一并报送局机关负责人处理。</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第十三条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重大行政执法决定经法制工作机构审核同意后，应当由承办机构提交局机关负责人集体讨论决定。法制审核未通过的，不得作出决定。</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重大行政执法决定作出后，由承办机构负责执行并做好立卷归档工作。</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第十四条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承办机构的承办人员、法制工作机构的审核人员以及作出行政执法决定的负责人因不履行或者不正确履行职责，导致行政执法决定错误，情节严重的，按照有关规定追究相关人员的责任。</w:t>
      </w:r>
    </w:p>
    <w:p>
      <w:pPr>
        <w:overflowPunct w:val="0"/>
        <w:autoSpaceDE w:val="0"/>
        <w:spacing w:line="560" w:lineRule="exact"/>
        <w:ind w:left="150" w:right="150" w:firstLine="616" w:firstLineChars="200"/>
        <w:rPr>
          <w:rFonts w:hint="eastAsia" w:ascii="仿宋_GB2312" w:hAnsi="仿宋" w:eastAsia="仿宋_GB2312" w:cs="仿宋"/>
          <w:color w:val="000000" w:themeColor="text1"/>
          <w:sz w:val="32"/>
          <w:szCs w:val="32"/>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第十五条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本办法由县</w:t>
      </w:r>
      <w:r>
        <w:rPr>
          <w:rFonts w:hint="eastAsia" w:ascii="仿宋_GB2312" w:hAnsi="仿宋" w:eastAsia="仿宋_GB2312" w:cs="仿宋"/>
          <w:color w:val="000000" w:themeColor="text1"/>
          <w:spacing w:val="-6"/>
          <w:sz w:val="32"/>
          <w:szCs w:val="32"/>
          <w:shd w:val="clear" w:color="auto" w:fill="FFFFFF"/>
          <w:lang w:eastAsia="zh-CN"/>
          <w14:textFill>
            <w14:solidFill>
              <w14:schemeClr w14:val="tx1"/>
            </w14:solidFill>
          </w14:textFill>
        </w:rPr>
        <w:t>林业和草原局</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法制工作机构负责解释。</w:t>
      </w:r>
    </w:p>
    <w:p>
      <w:pPr>
        <w:overflowPunct w:val="0"/>
        <w:autoSpaceDE w:val="0"/>
        <w:spacing w:line="560" w:lineRule="exact"/>
        <w:ind w:left="150" w:right="150" w:firstLine="616" w:firstLineChars="200"/>
        <w:rPr>
          <w:rFonts w:hint="eastAsia" w:ascii="仿宋_GB2312" w:eastAsia="仿宋_GB2312"/>
          <w:color w:val="000000" w:themeColor="text1"/>
          <w14:textFill>
            <w14:solidFill>
              <w14:schemeClr w14:val="tx1"/>
            </w14:solidFill>
          </w14:textFill>
        </w:rPr>
      </w:pP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第十六条</w:t>
      </w:r>
      <w:r>
        <w:rPr>
          <w:rFonts w:hint="eastAsia" w:ascii="仿宋_GB2312" w:hAnsi="仿宋" w:eastAsia="仿宋_GB2312" w:cs="仿宋"/>
          <w:color w:val="000000" w:themeColor="text1"/>
          <w:spacing w:val="-6"/>
          <w:sz w:val="32"/>
          <w:szCs w:val="32"/>
          <w:shd w:val="clear" w:color="auto" w:fill="FFFFFF"/>
          <w14:textFill>
            <w14:solidFill>
              <w14:schemeClr w14:val="tx1"/>
            </w14:solidFill>
          </w14:textFill>
        </w:rPr>
        <w:t xml:space="preserve">  本办法自印发之日起施行。</w:t>
      </w:r>
    </w:p>
    <w:p>
      <w:pPr>
        <w:spacing w:line="220" w:lineRule="atLeast"/>
        <w:rPr>
          <w:rFonts w:hint="eastAsia" w:ascii="仿宋_GB2312" w:eastAsia="仿宋_GB2312"/>
          <w:color w:val="000000" w:themeColor="text1"/>
          <w14:textFill>
            <w14:solidFill>
              <w14:schemeClr w14:val="tx1"/>
            </w14:solidFill>
          </w14:textFill>
        </w:rPr>
      </w:pPr>
    </w:p>
    <w:p>
      <w:pPr>
        <w:spacing w:line="580" w:lineRule="exact"/>
        <w:ind w:right="150"/>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pPr>
    </w:p>
    <w:p>
      <w:pPr>
        <w:spacing w:line="580" w:lineRule="exact"/>
        <w:ind w:right="150"/>
        <w:rPr>
          <w:rFonts w:ascii="仿宋_GB2312" w:hAnsi="Times New Roman" w:eastAsia="仿宋_GB2312" w:cs="仿宋_GB2312"/>
          <w:color w:val="000000" w:themeColor="text1"/>
          <w:spacing w:val="-6"/>
          <w:sz w:val="32"/>
          <w:szCs w:val="32"/>
          <w:shd w:val="clear" w:color="auto" w:fill="FFFFFF"/>
          <w14:textFill>
            <w14:solidFill>
              <w14:schemeClr w14:val="tx1"/>
            </w14:solidFill>
          </w14:textFill>
        </w:rPr>
      </w:pPr>
    </w:p>
    <w:p>
      <w:pPr>
        <w:spacing w:line="560" w:lineRule="exact"/>
        <w:ind w:right="15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jc w:val="center"/>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left="150" w:right="150" w:firstLine="616" w:firstLineChars="200"/>
        <w:rPr>
          <w:rFonts w:hint="eastAsia" w:ascii="仿宋_GB2312" w:hAnsi="仿宋_GB2312" w:eastAsia="仿宋_GB2312" w:cs="仿宋_GB2312"/>
          <w:color w:val="000000" w:themeColor="text1"/>
          <w:spacing w:val="-6"/>
          <w:sz w:val="32"/>
          <w:szCs w:val="32"/>
          <w:highlight w:val="none"/>
          <w:shd w:val="clear" w:color="auto" w:fill="FFFFFF"/>
          <w14:textFill>
            <w14:solidFill>
              <w14:schemeClr w14:val="tx1"/>
            </w14:solidFill>
          </w14:textFill>
        </w:rPr>
      </w:pPr>
    </w:p>
    <w:p>
      <w:pPr>
        <w:spacing w:line="560" w:lineRule="exact"/>
        <w:ind w:right="150"/>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pPr>
    </w:p>
    <w:p>
      <w:pPr>
        <w:spacing w:line="560" w:lineRule="exact"/>
        <w:ind w:right="150"/>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pPr>
    </w:p>
    <w:p>
      <w:pPr>
        <w:spacing w:line="560" w:lineRule="exact"/>
        <w:ind w:right="150"/>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pPr>
    </w:p>
    <w:p>
      <w:pPr>
        <w:spacing w:line="560" w:lineRule="exact"/>
        <w:ind w:right="150"/>
        <w:rPr>
          <w:rFonts w:hint="eastAsia" w:ascii="仿宋_GB2312" w:hAnsi="仿宋_GB2312" w:eastAsia="仿宋_GB2312" w:cs="仿宋_GB2312"/>
          <w:b/>
          <w:bCs/>
          <w:color w:val="000000" w:themeColor="text1"/>
          <w:sz w:val="32"/>
          <w:szCs w:val="32"/>
          <w:highlight w:val="none"/>
          <w:shd w:val="clear" w:color="auto" w:fill="FFFFFF"/>
          <w14:textFill>
            <w14:solidFill>
              <w14:schemeClr w14:val="tx1"/>
            </w14:solidFill>
          </w14:textFill>
        </w:rPr>
      </w:pPr>
    </w:p>
    <w:p>
      <w:pPr>
        <w:pStyle w:val="2"/>
        <w:widowControl/>
        <w:wordWrap w:val="0"/>
        <w:spacing w:beforeAutospacing="1" w:afterAutospacing="1" w:line="432" w:lineRule="auto"/>
        <w:ind w:left="76" w:firstLine="375"/>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FFFFFF"/>
          <w14:textFill>
            <w14:solidFill>
              <w14:schemeClr w14:val="tx1"/>
            </w14:solidFill>
          </w14:textFill>
        </w:rPr>
        <w:t xml:space="preserve"> </w:t>
      </w:r>
    </w:p>
    <w:p>
      <w:pPr>
        <w:spacing w:line="560" w:lineRule="exact"/>
        <w:ind w:left="150" w:right="150"/>
        <w:jc w:val="cente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沁源县林业和草原局</w:t>
      </w:r>
    </w:p>
    <w:p>
      <w:pPr>
        <w:spacing w:line="560" w:lineRule="exact"/>
        <w:ind w:left="150" w:right="150"/>
        <w:jc w:val="center"/>
        <w:rPr>
          <w:rFonts w:hint="eastAsia" w:asciiTheme="majorEastAsia" w:hAnsiTheme="majorEastAsia" w:eastAsiaTheme="majorEastAsia" w:cstheme="majorEastAsia"/>
          <w:b/>
          <w:bCs/>
          <w:color w:val="000000" w:themeColor="text1"/>
          <w:sz w:val="44"/>
          <w:szCs w:val="44"/>
          <w:lang w:eastAsia="zh-CN"/>
          <w14:textFill>
            <w14:solidFill>
              <w14:schemeClr w14:val="tx1"/>
            </w14:solidFill>
          </w14:textFill>
        </w:rPr>
      </w:pPr>
      <w:r>
        <w:rPr>
          <w:rFonts w:hint="eastAsia" w:asciiTheme="majorEastAsia" w:hAnsiTheme="majorEastAsia" w:eastAsiaTheme="majorEastAsia" w:cstheme="majorEastAsia"/>
          <w:b/>
          <w:bCs/>
          <w:color w:val="000000" w:themeColor="text1"/>
          <w:spacing w:val="-6"/>
          <w:sz w:val="44"/>
          <w:szCs w:val="44"/>
          <w:highlight w:val="none"/>
          <w:shd w:val="clear" w:color="auto" w:fill="FFFFFF"/>
          <w:lang w:eastAsia="zh-CN"/>
          <w14:textFill>
            <w14:solidFill>
              <w14:schemeClr w14:val="tx1"/>
            </w14:solidFill>
          </w14:textFill>
        </w:rPr>
        <w:t>行政执法音像记录设备配备办法</w:t>
      </w:r>
    </w:p>
    <w:p>
      <w:pPr>
        <w:keepNext w:val="0"/>
        <w:keepLines w:val="0"/>
        <w:pageBreakBefore w:val="0"/>
        <w:widowControl/>
        <w:tabs>
          <w:tab w:val="left" w:pos="2137"/>
        </w:tabs>
        <w:kinsoku/>
        <w:wordWrap/>
        <w:overflowPunct/>
        <w:topLinePunct w:val="0"/>
        <w:autoSpaceDE/>
        <w:autoSpaceDN/>
        <w:bidi w:val="0"/>
        <w:adjustRightInd w:val="0"/>
        <w:snapToGrid w:val="0"/>
        <w:spacing w:after="200" w:line="560" w:lineRule="exact"/>
        <w:ind w:left="0" w:leftChars="0" w:right="0" w:rightChars="0"/>
        <w:jc w:val="left"/>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p>
    <w:p>
      <w:pPr>
        <w:keepNext w:val="0"/>
        <w:keepLines w:val="0"/>
        <w:pageBreakBefore w:val="0"/>
        <w:widowControl/>
        <w:numPr>
          <w:ilvl w:val="0"/>
          <w:numId w:val="0"/>
        </w:numPr>
        <w:tabs>
          <w:tab w:val="left" w:pos="2137"/>
        </w:tabs>
        <w:kinsoku/>
        <w:wordWrap/>
        <w:overflowPunct/>
        <w:topLinePunct w:val="0"/>
        <w:autoSpaceDE/>
        <w:autoSpaceDN/>
        <w:bidi w:val="0"/>
        <w:adjustRightInd w:val="0"/>
        <w:snapToGrid w:val="0"/>
        <w:spacing w:after="200" w:line="560" w:lineRule="exact"/>
        <w:ind w:right="0" w:rightChars="0" w:firstLine="640" w:firstLineChars="200"/>
        <w:jc w:val="left"/>
        <w:textAlignment w:val="auto"/>
        <w:outlineLvl w:val="9"/>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第一条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为进一步加强行政执法工作，规范执法全过程音视频记录工作，有效减少执法风险和执法信访、投诉，维护执法人员及当事人合法权益，根据《</w:t>
      </w:r>
      <w:r>
        <w:rPr>
          <w:rFonts w:hint="eastAsia" w:ascii="仿宋_GB2312" w:hAnsi="仿宋" w:eastAsia="仿宋_GB2312" w:cs="仿宋_GB2312"/>
          <w:color w:val="000000" w:themeColor="text1"/>
          <w:spacing w:val="-6"/>
          <w:sz w:val="32"/>
          <w:szCs w:val="32"/>
          <w:shd w:val="clear" w:color="auto" w:fill="FFFFFF"/>
          <w:lang w:eastAsia="zh-CN"/>
          <w14:textFill>
            <w14:solidFill>
              <w14:schemeClr w14:val="tx1"/>
            </w14:solidFill>
          </w14:textFill>
        </w:rPr>
        <w:t>沁源县人民政府办公室关于转发长治市行政执法公示、全过程记录和重大行政执法决定法制审核等三个办法的通知</w:t>
      </w:r>
      <w:r>
        <w:rPr>
          <w:rFonts w:hint="eastAsia" w:ascii="仿宋_GB2312" w:hAnsi="仿宋_GB2312" w:eastAsia="仿宋_GB2312" w:cs="仿宋_GB2312"/>
          <w:color w:val="000000" w:themeColor="text1"/>
          <w:sz w:val="32"/>
          <w:szCs w:val="32"/>
          <w14:textFill>
            <w14:solidFill>
              <w14:schemeClr w14:val="tx1"/>
            </w14:solidFill>
          </w14:textFill>
        </w:rPr>
        <w:t>》，结合工作实际，制定本规定。</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第二条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执法全过程音视频记录工作，是指利用执法记录仪对现场执法全过程同步录音录像，并对现场执法全过程音视频记录的资料进行收集、保存、管理、使用等。使用执法记录仪进行执法全过程同步录音录像应遵循同步摄录、集中管理、规范归档、严格保密的原则，确保视听资料的全面、客观、合法、有效。</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第三条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所配的执法记录仪为执法办案、日常检查、重大执法活动等工作专用，严禁摄录任何与工作无关的内容。</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第四条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在实施以下执法管理活动时应佩戴现场执法记录仪，进行现场执法记录：</w:t>
      </w:r>
    </w:p>
    <w:p>
      <w:pPr>
        <w:keepNext w:val="0"/>
        <w:keepLines w:val="0"/>
        <w:pageBreakBefore w:val="0"/>
        <w:widowControl/>
        <w:numPr>
          <w:ilvl w:val="0"/>
          <w:numId w:val="1"/>
        </w:numPr>
        <w:tabs>
          <w:tab w:val="left" w:pos="2137"/>
        </w:tabs>
        <w:kinsoku/>
        <w:wordWrap/>
        <w:overflowPunct/>
        <w:topLinePunct w:val="0"/>
        <w:autoSpaceDE/>
        <w:autoSpaceDN/>
        <w:bidi w:val="0"/>
        <w:adjustRightInd w:val="0"/>
        <w:snapToGrid w:val="0"/>
        <w:spacing w:after="200" w:line="560" w:lineRule="exact"/>
        <w:ind w:left="638" w:leftChars="304" w:right="0" w:rightChars="0" w:firstLine="0" w:firstLineChars="0"/>
        <w:jc w:val="left"/>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日常执法检查；</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（二）处置各类投诉、举报案件；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（三）违法案件查处过程中，调查取证活动、先行登记保存证据、执法文书送达；</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（四）实施行政强制措施；</w:t>
      </w:r>
    </w:p>
    <w:p>
      <w:pPr>
        <w:keepNext w:val="0"/>
        <w:keepLines w:val="0"/>
        <w:pageBreakBefore w:val="0"/>
        <w:widowControl/>
        <w:numPr>
          <w:ilvl w:val="0"/>
          <w:numId w:val="2"/>
        </w:numPr>
        <w:tabs>
          <w:tab w:val="left" w:pos="2137"/>
        </w:tabs>
        <w:kinsoku/>
        <w:wordWrap/>
        <w:overflowPunct/>
        <w:topLinePunct w:val="0"/>
        <w:autoSpaceDE/>
        <w:autoSpaceDN/>
        <w:bidi w:val="0"/>
        <w:adjustRightInd w:val="0"/>
        <w:snapToGrid w:val="0"/>
        <w:spacing w:line="240" w:lineRule="auto"/>
        <w:ind w:right="0" w:rightChars="0" w:firstLine="640" w:firstLineChars="200"/>
        <w:jc w:val="left"/>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其他现场执法办案活动。</w:t>
      </w:r>
    </w:p>
    <w:p>
      <w:pPr>
        <w:keepNext w:val="0"/>
        <w:keepLines w:val="0"/>
        <w:pageBreakBefore w:val="0"/>
        <w:widowControl/>
        <w:numPr>
          <w:numId w:val="0"/>
        </w:numPr>
        <w:tabs>
          <w:tab w:val="left" w:pos="2137"/>
        </w:tabs>
        <w:kinsoku/>
        <w:wordWrap/>
        <w:overflowPunct/>
        <w:topLinePunct w:val="0"/>
        <w:autoSpaceDE/>
        <w:autoSpaceDN/>
        <w:bidi w:val="0"/>
        <w:adjustRightInd w:val="0"/>
        <w:snapToGrid w:val="0"/>
        <w:spacing w:line="240" w:lineRule="auto"/>
        <w:ind w:right="0" w:rightChars="0"/>
        <w:jc w:val="left"/>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bookmarkStart w:id="0" w:name="_GoBack"/>
      <w:bookmarkEnd w:id="0"/>
    </w:p>
    <w:p>
      <w:pPr>
        <w:keepNext w:val="0"/>
        <w:keepLines w:val="0"/>
        <w:pageBreakBefore w:val="0"/>
        <w:widowControl/>
        <w:numPr>
          <w:numId w:val="0"/>
        </w:numPr>
        <w:tabs>
          <w:tab w:val="left" w:pos="2137"/>
        </w:tabs>
        <w:kinsoku/>
        <w:wordWrap/>
        <w:overflowPunct/>
        <w:topLinePunct w:val="0"/>
        <w:autoSpaceDE/>
        <w:autoSpaceDN/>
        <w:bidi w:val="0"/>
        <w:adjustRightInd w:val="0"/>
        <w:snapToGrid w:val="0"/>
        <w:spacing w:line="240" w:lineRule="auto"/>
        <w:ind w:right="0" w:rightChars="0" w:firstLine="640" w:firstLineChars="200"/>
        <w:jc w:val="left"/>
        <w:textAlignment w:val="auto"/>
        <w:outlineLvl w:val="9"/>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黑体" w:hAnsi="黑体" w:eastAsia="黑体" w:cs="黑体"/>
          <w:color w:val="000000" w:themeColor="text1"/>
          <w:sz w:val="32"/>
          <w:szCs w:val="32"/>
          <w:lang w:eastAsia="zh-CN"/>
          <w14:textFill>
            <w14:solidFill>
              <w14:schemeClr w14:val="tx1"/>
            </w14:solidFill>
          </w14:textFill>
        </w:rPr>
        <w:t>第五条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下列情形可以不进行现场执法记录：</w:t>
      </w:r>
    </w:p>
    <w:p>
      <w:pPr>
        <w:keepNext w:val="0"/>
        <w:keepLines w:val="0"/>
        <w:pageBreakBefore w:val="0"/>
        <w:widowControl/>
        <w:numPr>
          <w:numId w:val="0"/>
        </w:numPr>
        <w:tabs>
          <w:tab w:val="left" w:pos="2137"/>
        </w:tabs>
        <w:kinsoku/>
        <w:wordWrap/>
        <w:overflowPunct/>
        <w:topLinePunct w:val="0"/>
        <w:autoSpaceDE/>
        <w:autoSpaceDN/>
        <w:bidi w:val="0"/>
        <w:adjustRightInd w:val="0"/>
        <w:snapToGrid w:val="0"/>
        <w:spacing w:line="240" w:lineRule="auto"/>
        <w:ind w:right="0" w:rightChars="0" w:firstLine="640" w:firstLineChars="200"/>
        <w:jc w:val="left"/>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（一）</w:t>
      </w:r>
      <w:r>
        <w:rPr>
          <w:rFonts w:hint="eastAsia" w:ascii="仿宋_GB2312" w:hAnsi="仿宋_GB2312" w:eastAsia="仿宋_GB2312" w:cs="仿宋_GB2312"/>
          <w:color w:val="000000" w:themeColor="text1"/>
          <w:sz w:val="32"/>
          <w:szCs w:val="32"/>
          <w14:textFill>
            <w14:solidFill>
              <w14:schemeClr w14:val="tx1"/>
            </w14:solidFill>
          </w14:textFill>
        </w:rPr>
        <w:t>在爆炸危险区域实施执法检查未配备符合防爆规定的音像记录设备的；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（二）涉及国家秘密、商业秘密或者个人隐私的；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（三）情况紧急，不能进行执法记录的；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（四）因客观原因无法进行执法记录的。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对上述情况，使用人员应在执法和管理活动结束后及时制作工作记录，写明无法使用的原因和依据，报科室负责人。</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第六条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各科室负责执法记录仪的日常管理、维护。各科室负责人为本单位执法记录仪使用管理的第一责任人。各科室要做好执法记录仪的保管和养护，避免因使用不当造成执法记录仪损坏。要求每台执法记录仪定人管理，负责设备的日常养护管理工作。</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办公室负责执法记录仪的登记、发放，并做好执法记录装备增配、维护、更新等保障。根据工作需要，通过提取、调看执法记录仪信息，开展网上执法监督、网上督察工作，了解一线执法人员的执法行为，及时纠正不规范的执法行为；执法行为被投诉的，及时收集、保存相关信息，作为调查处理的重要依据。各执法科室负责执法记录仪录制的视听资料收集、储存。</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第七条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执法人员在进行现场执法摄录工作之前，应当对执法记录仪进行全面检查，确保执法记录仪无故障，电池电量充足，内存卡有足够存储空间，并按照当前日期、时间调整好设备时间。</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第八条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在进行执法过程全记录时执法人员应当事先告知对方使用执法记录仪记录，告知的规范用语是：“为保护您的合法权益，监督我们的执法行为，本次执法全程录音录像”。</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第九条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对执法活动要同步录制，应对执法全过程进行不间断记录，录制过程应当自执法人员到达现场开展执法检查（办案）时开始，至执法检查（办案）结束时止。</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执法全过程音视频记录应反映执法活动现场的地点、时间、场景、参与人员、违法违规行为、现场痕迹物证等。录制内容应当重点摄录以下内容：</w:t>
      </w:r>
    </w:p>
    <w:p>
      <w:pPr>
        <w:keepNext w:val="0"/>
        <w:keepLines w:val="0"/>
        <w:pageBreakBefore w:val="0"/>
        <w:widowControl/>
        <w:numPr>
          <w:ilvl w:val="0"/>
          <w:numId w:val="3"/>
        </w:numPr>
        <w:tabs>
          <w:tab w:val="left" w:pos="2137"/>
        </w:tabs>
        <w:kinsoku/>
        <w:wordWrap/>
        <w:overflowPunct/>
        <w:topLinePunct w:val="0"/>
        <w:autoSpaceDE/>
        <w:autoSpaceDN/>
        <w:bidi w:val="0"/>
        <w:adjustRightInd w:val="0"/>
        <w:snapToGrid w:val="0"/>
        <w:spacing w:line="240" w:lineRule="auto"/>
        <w:ind w:right="0" w:rightChars="0" w:firstLine="640" w:firstLineChars="200"/>
        <w:jc w:val="left"/>
        <w:textAlignment w:val="auto"/>
        <w:outlineLvl w:val="9"/>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能反映企业名称、概貌的标志性建筑；</w:t>
      </w:r>
    </w:p>
    <w:p>
      <w:pPr>
        <w:keepNext w:val="0"/>
        <w:keepLines w:val="0"/>
        <w:pageBreakBefore w:val="0"/>
        <w:widowControl/>
        <w:numPr>
          <w:ilvl w:val="0"/>
          <w:numId w:val="3"/>
        </w:numPr>
        <w:tabs>
          <w:tab w:val="left" w:pos="2137"/>
        </w:tabs>
        <w:kinsoku/>
        <w:wordWrap/>
        <w:overflowPunct/>
        <w:topLinePunct w:val="0"/>
        <w:autoSpaceDE/>
        <w:autoSpaceDN/>
        <w:bidi w:val="0"/>
        <w:adjustRightInd w:val="0"/>
        <w:snapToGrid w:val="0"/>
        <w:spacing w:line="240" w:lineRule="auto"/>
        <w:ind w:left="0" w:leftChars="0" w:right="0" w:rightChars="0" w:firstLine="640" w:firstLineChars="200"/>
        <w:jc w:val="left"/>
        <w:textAlignment w:val="auto"/>
        <w:outlineLvl w:val="9"/>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执法人员向企业介绍执法目的、意义、重点及相关要求时；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（三）对现场必查区域、场所进行检查时；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（四）向企业相关人员通报检查情况、交换意见时；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（五）对有关人员就所需调查的问题进行询问时；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（六）企业相关人员在现场检查记录或相关执法文书上签署姓名和意见时；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（七）调查取证中调取原始凭证确有困难，须采取照相、录像等方式取证时；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（八）抽样取证不能提取原物，必须采取照相、录像等方式取证时；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（九）实施行政处罚简易程序容易引起争议时；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（十）以留置送达方式将执法文书留置在当事人的收发部门或者住所时；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（十一）以公告方式送达执法文书时；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（十二）对企业进行复查时；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（十三）其他应当采取音像记录的情况。</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现场有违法行为的，应当对当事人及其工作人员言行、询问情况等进行摄录。对现场遗留或发现的违法工具、物品等物证及原始痕迹证据应当进行重点摄录。</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第十一条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非因技术原因不得中止录制或断续录制，因设备故障、损坏，天气情况恶劣或者电量、存储空间不足，检查场所变化等客观原因而中止记录的，重新开始记录时应当对中断原因进行语音说明。确实无法继续记录的，应当立即向所属部门负责人报告，并在事后书面说明情况。</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不得任意选择取舍或者事后补录，不得插入其他画面，不得进行任意删改和编辑。</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第十二条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禁止在非执法工作中使用现场执法记录仪。</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第十三条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执法记录仪应置于安全、稳妥位置，选择最佳拍摄角度，确保能够完整记录执法过程。</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第十四条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使用人员在进行现场执法时，应保持仪容严整，语言文明，维护执法队伍形象。</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第十五条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执法人员在当天执法活动结束后，须在第一时间将现场执法音视频记录信息导出保存；连续工作、异地执法或者在偏远、交通不便地区执法办案，确实无法及时移交资料的，应当在返回单位后24小时内将现场执法音视频记录信息导出保存。各执法科室所有记录信息每月底前将副本报办公室存档备查。</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执法人员不得私自复制、保存现场执法记录。</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第十六条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执法全过程音视频记录最少保存1年，作为证据使用的记录信息随案卷保存时限保存。</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第十七条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现场执法记录需要作为证据使用的，从存储设备中复制调取，应当按照有关要求，制作文字说明材料，注明制作人、提取人、提取时间等信息，并将其复制为光盘后附卷。</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第十八条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因工作需要查阅视听资料的，应当报经局主要负责人批准，并由保管人对查阅人、查阅事由、查阅时间等情况进行登记。</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第十九条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在办理涉法涉诉案件、执法监督、案情研判等工作中，需要调取、查看现场执法记录的，依照有关规定执行。</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第二十条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任何人员不得对原始现场执法记录进行删节、修改。除作为证据使用外，未经批准，不得擅自对外提供现场执法记录。</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第二十一条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涉及国家秘密、商业秘密的现场执法记录，应严格按照保密工作规定进行管理（禁止在非涉密计算机处理涉密文件）。</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第二十二条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应对执法全过程音视频记录工作进行经常性监督检查，按一定比例对现场执法全过程音视频记录资料进行抽查，纳入执法质量考评：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（一）对规定事项是否进行现场执法音视频记录；</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（二）对执法全过程是否进行不间断记录；</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（三）现场执法全过程音视频资料的移交、管理和使用情况。</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第二十三条</w:t>
      </w:r>
      <w:r>
        <w:rPr>
          <w:rFonts w:hint="eastAsia" w:ascii="黑体" w:hAnsi="黑体" w:eastAsia="黑体" w:cs="黑体"/>
          <w:b w:val="0"/>
          <w:bCs w:val="0"/>
          <w:color w:val="000000" w:themeColor="text1"/>
          <w:spacing w:val="-6"/>
          <w:sz w:val="32"/>
          <w:szCs w:val="32"/>
          <w:shd w:val="clear" w:color="auto" w:fill="FFFFFF"/>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 xml:space="preserve"> 有下列情形之一的，按规定追究执法过错责任：</w:t>
      </w:r>
    </w:p>
    <w:p>
      <w:pPr>
        <w:keepNext w:val="0"/>
        <w:keepLines w:val="0"/>
        <w:pageBreakBefore w:val="0"/>
        <w:widowControl/>
        <w:numPr>
          <w:ilvl w:val="0"/>
          <w:numId w:val="0"/>
        </w:numPr>
        <w:tabs>
          <w:tab w:val="left" w:pos="2137"/>
        </w:tabs>
        <w:kinsoku/>
        <w:wordWrap/>
        <w:overflowPunct/>
        <w:topLinePunct w:val="0"/>
        <w:autoSpaceDE/>
        <w:autoSpaceDN/>
        <w:bidi w:val="0"/>
        <w:adjustRightInd w:val="0"/>
        <w:snapToGrid w:val="0"/>
        <w:spacing w:line="240" w:lineRule="auto"/>
        <w:ind w:right="0" w:rightChars="0" w:firstLine="640" w:firstLineChars="200"/>
        <w:jc w:val="left"/>
        <w:textAlignment w:val="auto"/>
        <w:outlineLvl w:val="9"/>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（一）不按照规定进行现场执法记录，造成涉法信访、投诉案件工作被动的；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（二）因不规范使用现场执法记录仪，引发网络、媒体负面报道的；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（三）违反规定泄露现场执法记录内容，造成后果的；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（四）对现场执法记录进行删改，弄虚作假的；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（五）不按照规定存储致使现场执法记录损毁、灭失，造成后果的；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（六）故意毁坏执法记录装备的；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（七）其他违反现场执法记录制度相关规定，应予追究的。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黑体" w:hAnsi="黑体" w:eastAsia="黑体" w:cs="黑体"/>
          <w:b w:val="0"/>
          <w:bCs w:val="0"/>
          <w:color w:val="000000" w:themeColor="text1"/>
          <w:spacing w:val="-6"/>
          <w:sz w:val="32"/>
          <w:szCs w:val="32"/>
          <w:shd w:val="clear" w:color="auto" w:fill="FFFFFF"/>
          <w14:textFill>
            <w14:solidFill>
              <w14:schemeClr w14:val="tx1"/>
            </w14:solidFill>
          </w14:textFill>
        </w:rPr>
        <w:t>第二十四条</w:t>
      </w: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执法过错责任追究方式分为：</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（—）责令作出书面检查；</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（二）通报批评；</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（三）停止执法工作一周；</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（四）取消当年评优评先资格。</w:t>
      </w:r>
      <w:r>
        <w:rPr>
          <w:rFonts w:hint="eastAsia" w:ascii="仿宋_GB2312" w:hAnsi="仿宋_GB2312" w:eastAsia="仿宋_GB2312" w:cs="仿宋_GB2312"/>
          <w:color w:val="000000" w:themeColor="text1"/>
          <w:sz w:val="32"/>
          <w:szCs w:val="32"/>
          <w14:textFill>
            <w14:solidFill>
              <w14:schemeClr w14:val="tx1"/>
            </w14:solidFill>
          </w14:textFill>
        </w:rPr>
        <w:br w:type="textWrapping"/>
      </w:r>
      <w:r>
        <w:rPr>
          <w:rFonts w:hint="eastAsia" w:ascii="仿宋_GB2312" w:hAnsi="仿宋_GB2312" w:eastAsia="仿宋_GB2312" w:cs="仿宋_GB2312"/>
          <w:color w:val="000000" w:themeColor="text1"/>
          <w:sz w:val="32"/>
          <w:szCs w:val="32"/>
          <w14:textFill>
            <w14:solidFill>
              <w14:schemeClr w14:val="tx1"/>
            </w14:solidFill>
          </w14:textFill>
        </w:rPr>
        <w:t>除追究上述责任外，还可按照相关规定给予责任人行政处</w:t>
      </w:r>
      <w:r>
        <w:rPr>
          <w:rFonts w:hint="eastAsia" w:ascii="仿宋_GB2312" w:hAnsi="仿宋_GB2312" w:eastAsia="仿宋_GB2312" w:cs="仿宋_GB2312"/>
          <w:color w:val="000000" w:themeColor="text1"/>
          <w:sz w:val="32"/>
          <w:szCs w:val="32"/>
          <w:lang w:eastAsia="zh-CN"/>
          <w14:textFill>
            <w14:solidFill>
              <w14:schemeClr w14:val="tx1"/>
            </w14:solidFill>
          </w14:textFill>
        </w:rPr>
        <w:t>分。</w:t>
      </w:r>
    </w:p>
    <w:p>
      <w:pPr>
        <w:jc w:val="left"/>
        <w:rPr>
          <w:color w:val="000000" w:themeColor="text1"/>
          <w14:textFill>
            <w14:solidFill>
              <w14:schemeClr w14:val="tx1"/>
            </w14:solidFill>
          </w14:textFill>
        </w:rPr>
      </w:pPr>
    </w:p>
    <w:p>
      <w:pPr>
        <w:jc w:val="both"/>
        <w:rPr>
          <w:rFonts w:hint="eastAsia" w:ascii="楷体_GB2312" w:hAnsi="楷体_GB2312" w:eastAsia="楷体_GB2312" w:cs="楷体_GB2312"/>
          <w:sz w:val="84"/>
          <w:szCs w:val="84"/>
          <w:lang w:eastAsia="zh-CN"/>
        </w:rPr>
      </w:pPr>
    </w:p>
    <w:p>
      <w:pPr>
        <w:jc w:val="left"/>
        <w:rPr>
          <w:color w:val="000000" w:themeColor="text1"/>
          <w14:textFill>
            <w14:solidFill>
              <w14:schemeClr w14:val="tx1"/>
            </w14:solidFill>
          </w14:textFill>
        </w:rPr>
      </w:pPr>
    </w:p>
    <w:sectPr>
      <w:pgSz w:w="11906" w:h="16838"/>
      <w:pgMar w:top="1440" w:right="1800" w:bottom="1440" w:left="1800" w:header="851" w:footer="992" w:gutter="0"/>
      <w:pgNumType w:fmt="numberInDash" w:start="2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altName w:val="微软雅黑"/>
    <w:panose1 w:val="02010609060101010101"/>
    <w:charset w:val="86"/>
    <w:family w:val="modern"/>
    <w:pitch w:val="default"/>
    <w:sig w:usb0="00000000" w:usb1="00000000"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2DFDFF"/>
    <w:multiLevelType w:val="singleLevel"/>
    <w:tmpl w:val="B32DFDFF"/>
    <w:lvl w:ilvl="0" w:tentative="0">
      <w:start w:val="1"/>
      <w:numFmt w:val="chineseCounting"/>
      <w:suff w:val="nothing"/>
      <w:lvlText w:val="（%1）"/>
      <w:lvlJc w:val="left"/>
      <w:rPr>
        <w:rFonts w:hint="eastAsia"/>
      </w:rPr>
    </w:lvl>
  </w:abstractNum>
  <w:abstractNum w:abstractNumId="1">
    <w:nsid w:val="DDED1DA0"/>
    <w:multiLevelType w:val="singleLevel"/>
    <w:tmpl w:val="DDED1DA0"/>
    <w:lvl w:ilvl="0" w:tentative="0">
      <w:start w:val="5"/>
      <w:numFmt w:val="chineseCounting"/>
      <w:suff w:val="nothing"/>
      <w:lvlText w:val="（%1）"/>
      <w:lvlJc w:val="left"/>
      <w:rPr>
        <w:rFonts w:hint="eastAsia"/>
      </w:rPr>
    </w:lvl>
  </w:abstractNum>
  <w:abstractNum w:abstractNumId="2">
    <w:nsid w:val="276D90D3"/>
    <w:multiLevelType w:val="singleLevel"/>
    <w:tmpl w:val="276D90D3"/>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E767A"/>
    <w:rsid w:val="179676BA"/>
    <w:rsid w:val="1D90375B"/>
    <w:rsid w:val="34171B2F"/>
    <w:rsid w:val="52041412"/>
    <w:rsid w:val="5591146F"/>
    <w:rsid w:val="75BD6997"/>
    <w:rsid w:val="769579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2019-12-13T00:55:00Z</dcterms:created>
  <dc:creator>Administrator</dc:creator>
  <cp:lastModifiedBy>Ray Allen</cp:lastModifiedBy>
  <dcterms:modified xsi:type="dcterms:W3CDTF">2020-03-20T11:29:50Z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