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ind w:left="0" w:leftChars="0" w:firstLine="0" w:firstLineChars="0"/>
        <w:textAlignment w:val="baseline"/>
        <w:rPr>
          <w:rFonts w:hint="eastAsia" w:ascii="宋体" w:hAnsi="宋体" w:eastAsia="宋体" w:cs="宋体"/>
          <w:b/>
          <w:bCs/>
          <w:spacing w:val="-6"/>
          <w:sz w:val="43"/>
          <w:szCs w:val="43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沁源县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能源局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年度行政检查计划</w:t>
      </w:r>
    </w:p>
    <w:p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both"/>
        <w:textAlignment w:val="baseline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为贯彻落实好202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年全省能源工作会议精神，认真履行监管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职责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加强和规范能源监管工作，提高执法检查工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作的科学性、计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划性和针对性，推动各项工作落地见效，圆满完成好我局的年度工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作任务，结合我局职责和实际，制定本计划。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黑体" w:hAnsi="黑体" w:eastAsia="黑体" w:cs="黑体"/>
          <w:spacing w:val="1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以习近平总书记视察山西重要讲话、在山西考察调研看望慰问基层干部群众重要指示精神为指导，紧紧围绕全国和全省能源工作会议精神和省、市、县政府工作安排，把狠抓落实作为工作的重中之重，紧紧围绕和服务于政策规定的有效实施、能源革命的有序推进、能源行业的高质量发展，规范行业监管，严格责任落实，持续深化能源监管工作的系统化和规范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4" w:firstLineChars="200"/>
        <w:jc w:val="both"/>
        <w:textAlignment w:val="baseline"/>
        <w:rPr>
          <w:rFonts w:hint="eastAsia" w:ascii="黑体" w:hAnsi="黑体" w:eastAsia="黑体" w:cs="黑体"/>
          <w:spacing w:val="1"/>
          <w:sz w:val="32"/>
          <w:szCs w:val="32"/>
        </w:rPr>
      </w:pPr>
      <w:r>
        <w:rPr>
          <w:rFonts w:hint="eastAsia" w:ascii="黑体" w:hAnsi="黑体" w:eastAsia="黑体" w:cs="黑体"/>
          <w:spacing w:val="1"/>
          <w:sz w:val="32"/>
          <w:szCs w:val="32"/>
        </w:rPr>
        <w:t>二、目标任务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严格按照法律法规和“三定”规定履行能源监管责任，坚持目标导向和问题导向，通过加大行政检查力度，保障国家、省、市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县政府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能源政策规划的有效执行，推动企业落实主体责任，促进企业依法建设、生产、运行能力的持续提升，为推动全市能源高质量发展，圆满完成全年工作目标，营造良好的法治环境。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4" w:firstLineChars="200"/>
        <w:jc w:val="both"/>
        <w:textAlignment w:val="baseline"/>
        <w:rPr>
          <w:rFonts w:hint="eastAsia" w:ascii="黑体" w:hAnsi="黑体" w:eastAsia="黑体" w:cs="黑体"/>
          <w:spacing w:val="1"/>
          <w:sz w:val="32"/>
          <w:szCs w:val="32"/>
        </w:rPr>
      </w:pPr>
      <w:r>
        <w:rPr>
          <w:rFonts w:hint="eastAsia" w:ascii="黑体" w:hAnsi="黑体" w:eastAsia="黑体" w:cs="黑体"/>
          <w:spacing w:val="1"/>
          <w:sz w:val="32"/>
          <w:szCs w:val="32"/>
        </w:rPr>
        <w:t>三、执法依据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《中华人民共和国行政处罚法》《中华人民共和国行政强制法》《中华人民共和国安全生产法》《中华人民共和国煤炭法》《中华人民共和国电力法》《中华人民共和国节约能源法》《中华人民共和国石油天然气管道保护法》《中华人民共和国可再生能源法》《企业投资项目核准和备案管理条例》《建设工程质量管理条例》《山西省节约能源条例》《山西省安全生产条例》《山西省电力设施保护条例》《山西省石油天然气管道建设和保护办法》《山西省管行业必须管安全、管业务必须管安全、管生产经营必须管安全实施细则》等有关法律法规、规章制度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县委、县政府明确的部门权力和责任清单。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4" w:firstLineChars="200"/>
        <w:jc w:val="both"/>
        <w:textAlignment w:val="baseline"/>
        <w:rPr>
          <w:rFonts w:hint="eastAsia" w:ascii="黑体" w:hAnsi="黑体" w:eastAsia="黑体" w:cs="黑体"/>
          <w:spacing w:val="1"/>
          <w:sz w:val="32"/>
          <w:szCs w:val="32"/>
        </w:rPr>
      </w:pPr>
      <w:r>
        <w:rPr>
          <w:rFonts w:hint="eastAsia" w:ascii="黑体" w:hAnsi="黑体" w:eastAsia="黑体" w:cs="黑体"/>
          <w:spacing w:val="1"/>
          <w:sz w:val="32"/>
          <w:szCs w:val="32"/>
        </w:rPr>
        <w:t>四、检查内容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委、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政府办公室关于印发《沁源县能源局职能配置内设机构和人员编制规定》的通知(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办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字〔2019〕4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号)职能划分，依据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县局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行政职权和责任清单以及实际承担的业务职责，开展职责范围内的行政检查工作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7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</w:rPr>
        <w:t>重点内容包括：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重大能源规划、政策落实、新能源、煤层气开发和油气管网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电力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建设项目落实和执行相关建设、开发规定情况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电力(含自备电厂)、新能源企业安全生产情况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用户“获得电力”服务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增量配电业务改革试点项目运营情况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煤炭消费减量替代方案落实情况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4" w:firstLineChars="200"/>
        <w:jc w:val="both"/>
        <w:textAlignment w:val="baseline"/>
        <w:rPr>
          <w:rFonts w:hint="default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（六）煤电机组关停拆除验收；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（七）用能单位执行能源节约法律法规、落实节能管理情况；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（八）建设单位固定资产投资项目节能审查意见落实情况的行政检查、已整改“两高”项目专项监察；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（九）加强煤矿建设项目事中事后监管；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（十）开展洗选企业标准化评定；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（十一）煤矿企业生产要素公告进行现场核查；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十二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石油、天然气管道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建设和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保护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全面排查；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十三）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能源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固定资产投资项目核准、备案内容的执行情况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十四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监督检查煤矿合理安排计划、优化部署、均衡生产督促辖区内煤炭企业（省属煤炭集团煤矿除外）按照政策规定，足额完成电煤中长期合同签订任务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（十五）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加强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电煤中长期合同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督导检查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督促煤炭企业按照约定兑现煤量、煤质，按时报送合同月度履行情况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4" w:firstLineChars="200"/>
        <w:jc w:val="both"/>
        <w:textAlignment w:val="baseline"/>
        <w:rPr>
          <w:rFonts w:hint="eastAsia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（十六）煤矿企业严格执行临时停产、减产报告制度情况。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4" w:firstLineChars="200"/>
        <w:jc w:val="both"/>
        <w:textAlignment w:val="baseline"/>
        <w:rPr>
          <w:rFonts w:hint="eastAsia" w:ascii="黑体" w:hAnsi="黑体" w:eastAsia="黑体" w:cs="黑体"/>
          <w:spacing w:val="1"/>
          <w:sz w:val="32"/>
          <w:szCs w:val="32"/>
        </w:rPr>
      </w:pPr>
      <w:r>
        <w:rPr>
          <w:rFonts w:hint="eastAsia" w:ascii="黑体" w:hAnsi="黑体" w:eastAsia="黑体" w:cs="黑体"/>
          <w:spacing w:val="1"/>
          <w:sz w:val="32"/>
          <w:szCs w:val="32"/>
        </w:rPr>
        <w:t>五、检查方式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按照全面覆盖、重点突出、提高效能和谁检查、谁签字、谁负责 的原则，计划检查和突查暗查、巡查督查等相结合的方式开展。同时，要加强对信用监管、“互联网+监管”等新型监管方式的运用。按照“谁检查、谁录入”的要求，指定专人将检查情况及时录入省“互联网+监管”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4" w:firstLineChars="200"/>
        <w:jc w:val="both"/>
        <w:textAlignment w:val="baseline"/>
        <w:rPr>
          <w:rFonts w:hint="eastAsia" w:ascii="黑体" w:hAnsi="黑体" w:eastAsia="黑体" w:cs="黑体"/>
          <w:spacing w:val="1"/>
          <w:sz w:val="32"/>
          <w:szCs w:val="32"/>
        </w:rPr>
      </w:pPr>
      <w:r>
        <w:rPr>
          <w:rFonts w:hint="eastAsia" w:ascii="黑体" w:hAnsi="黑体" w:eastAsia="黑体" w:cs="黑体"/>
          <w:spacing w:val="1"/>
          <w:sz w:val="32"/>
          <w:szCs w:val="32"/>
        </w:rPr>
        <w:t>六、工作要求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1"/>
          <w:sz w:val="32"/>
          <w:szCs w:val="32"/>
        </w:rPr>
        <w:t>(一)</w:t>
      </w:r>
      <w:r>
        <w:rPr>
          <w:rFonts w:hint="eastAsia" w:ascii="楷体_GB2312" w:hAnsi="楷体_GB2312" w:eastAsia="楷体_GB2312" w:cs="楷体_GB2312"/>
          <w:spacing w:val="1"/>
          <w:sz w:val="32"/>
          <w:szCs w:val="32"/>
          <w:lang w:val="en-US" w:eastAsia="zh-CN"/>
        </w:rPr>
        <w:t>高度重视</w:t>
      </w:r>
      <w:r>
        <w:rPr>
          <w:rFonts w:hint="eastAsia" w:ascii="楷体_GB2312" w:hAnsi="楷体_GB2312" w:eastAsia="楷体_GB2312" w:cs="楷体_GB2312"/>
          <w:spacing w:val="1"/>
          <w:sz w:val="32"/>
          <w:szCs w:val="32"/>
        </w:rPr>
        <w:t>，精心组织。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机关各有关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股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室要站在转变政府职能，深化“放管服”改革的高度，对年度执法检查工作高度重视，精心组织，合理安排人员和时间，认真开展好各项检查工作，做好执法工作的统计、分析和总结工作。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1"/>
          <w:sz w:val="32"/>
          <w:szCs w:val="32"/>
        </w:rPr>
        <w:t>(二)统筹安排，提高效能。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在实际操作中，严格按照国家和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各级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政府关于统筹规范督查检查考核工作的有关要求，做到合并检查事项、减少检查频次、提高检查质量、减轻企业负担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将可以合并为一次性开展的检查事项进行合并开展，力争对相关事项一次查全、查透。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1"/>
          <w:sz w:val="32"/>
          <w:szCs w:val="32"/>
        </w:rPr>
        <w:t>(三)规范流程，严格执法。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规范执法流程，严格执法程序，使用统一印制的执法文书。形成以制度管人、以制度理事的工作机制，促进执法工作的规范化、制度化、科学化。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pacing w:val="1"/>
          <w:sz w:val="32"/>
          <w:szCs w:val="32"/>
        </w:rPr>
        <w:t>(四)</w:t>
      </w:r>
      <w:r>
        <w:rPr>
          <w:rFonts w:hint="eastAsia" w:ascii="楷体_GB2312" w:hAnsi="楷体_GB2312" w:eastAsia="楷体_GB2312" w:cs="楷体_GB2312"/>
          <w:spacing w:val="1"/>
          <w:sz w:val="32"/>
          <w:szCs w:val="32"/>
          <w:lang w:val="en-US" w:eastAsia="zh-CN"/>
        </w:rPr>
        <w:t>落实</w:t>
      </w:r>
      <w:r>
        <w:rPr>
          <w:rFonts w:hint="eastAsia" w:ascii="楷体_GB2312" w:hAnsi="楷体_GB2312" w:eastAsia="楷体_GB2312" w:cs="楷体_GB2312"/>
          <w:spacing w:val="1"/>
          <w:sz w:val="32"/>
          <w:szCs w:val="32"/>
        </w:rPr>
        <w:t>责任，加强管理</w:t>
      </w:r>
      <w:r>
        <w:rPr>
          <w:rFonts w:hint="eastAsia" w:ascii="楷体_GB2312" w:hAnsi="楷体_GB2312" w:eastAsia="楷体_GB2312" w:cs="楷体_GB2312"/>
          <w:spacing w:val="1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严格执行“谁执法、谁负责”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、“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谁处罚、谁负责”的责任制度。加强执法计划落实情况的监督考核，适时对计划执行情况进行督促检查，确保目标和任务有效落实。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highlight w:val="none"/>
        </w:rPr>
        <w:t>附件：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highlight w:val="none"/>
          <w:lang w:val="en-US" w:eastAsia="zh-CN"/>
        </w:rPr>
        <w:t>沁源县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highlight w:val="none"/>
        </w:rPr>
        <w:t>能源局202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highlight w:val="none"/>
        </w:rPr>
        <w:t>年行政检查计划表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hanging="5440" w:hangingChars="17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         沁源县能源局     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5440" w:firstLineChars="17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2023年3月30日</w:t>
      </w:r>
    </w:p>
    <w:p>
      <w:pPr>
        <w:spacing w:before="111" w:line="224" w:lineRule="auto"/>
        <w:rPr>
          <w:rFonts w:ascii="黑体" w:hAnsi="黑体" w:eastAsia="黑体" w:cs="黑体"/>
          <w:b w:val="0"/>
          <w:bCs w:val="0"/>
          <w:spacing w:val="-18"/>
          <w:sz w:val="32"/>
          <w:szCs w:val="32"/>
        </w:rPr>
      </w:pPr>
    </w:p>
    <w:p>
      <w:pPr>
        <w:spacing w:before="111" w:line="224" w:lineRule="auto"/>
        <w:rPr>
          <w:rFonts w:ascii="Arial"/>
          <w:sz w:val="21"/>
        </w:rPr>
      </w:pPr>
      <w:r>
        <w:rPr>
          <w:rFonts w:ascii="黑体" w:hAnsi="黑体" w:eastAsia="黑体" w:cs="黑体"/>
          <w:b w:val="0"/>
          <w:bCs w:val="0"/>
          <w:spacing w:val="-18"/>
          <w:sz w:val="32"/>
          <w:szCs w:val="32"/>
        </w:rPr>
        <w:t>附件</w:t>
      </w:r>
    </w:p>
    <w:p>
      <w:pPr>
        <w:spacing w:line="62" w:lineRule="exact"/>
      </w:pPr>
    </w:p>
    <w:tbl>
      <w:tblPr>
        <w:tblStyle w:val="11"/>
        <w:tblW w:w="9067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8"/>
        <w:gridCol w:w="3653"/>
        <w:gridCol w:w="576"/>
        <w:gridCol w:w="578"/>
        <w:gridCol w:w="2235"/>
        <w:gridCol w:w="649"/>
        <w:gridCol w:w="8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558" w:type="dxa"/>
            <w:textDirection w:val="tbRlV"/>
            <w:vAlign w:val="center"/>
          </w:tcPr>
          <w:p>
            <w:pPr>
              <w:spacing w:before="109" w:line="217" w:lineRule="auto"/>
              <w:ind w:left="7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3653" w:type="dxa"/>
            <w:vAlign w:val="center"/>
          </w:tcPr>
          <w:p>
            <w:pPr>
              <w:spacing w:before="193" w:line="219" w:lineRule="auto"/>
              <w:ind w:left="112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检查事项</w:t>
            </w:r>
          </w:p>
        </w:tc>
        <w:tc>
          <w:tcPr>
            <w:tcW w:w="576" w:type="dxa"/>
            <w:vAlign w:val="center"/>
          </w:tcPr>
          <w:p>
            <w:pPr>
              <w:spacing w:before="64" w:line="228" w:lineRule="auto"/>
              <w:ind w:left="53" w:right="6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执法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人数</w:t>
            </w:r>
          </w:p>
        </w:tc>
        <w:tc>
          <w:tcPr>
            <w:tcW w:w="578" w:type="dxa"/>
            <w:vAlign w:val="center"/>
          </w:tcPr>
          <w:p>
            <w:pPr>
              <w:spacing w:before="83" w:line="215" w:lineRule="auto"/>
              <w:ind w:left="4" w:right="2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计划执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法天数</w:t>
            </w:r>
          </w:p>
        </w:tc>
        <w:tc>
          <w:tcPr>
            <w:tcW w:w="2235" w:type="dxa"/>
            <w:vAlign w:val="center"/>
          </w:tcPr>
          <w:p>
            <w:pPr>
              <w:spacing w:before="193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检查频次</w:t>
            </w:r>
          </w:p>
        </w:tc>
        <w:tc>
          <w:tcPr>
            <w:tcW w:w="649" w:type="dxa"/>
            <w:vAlign w:val="center"/>
          </w:tcPr>
          <w:p>
            <w:pPr>
              <w:spacing w:before="76" w:line="228" w:lineRule="auto"/>
              <w:ind w:left="108" w:right="8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时间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安排</w:t>
            </w:r>
          </w:p>
        </w:tc>
        <w:tc>
          <w:tcPr>
            <w:tcW w:w="818" w:type="dxa"/>
            <w:vAlign w:val="center"/>
          </w:tcPr>
          <w:p>
            <w:pPr>
              <w:spacing w:before="63" w:line="279" w:lineRule="exact"/>
              <w:ind w:left="19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position w:val="4"/>
                <w:sz w:val="21"/>
                <w:szCs w:val="21"/>
              </w:rPr>
              <w:t>责任</w:t>
            </w:r>
          </w:p>
          <w:p>
            <w:pPr>
              <w:spacing w:line="218" w:lineRule="auto"/>
              <w:ind w:left="19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科室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58" w:type="dxa"/>
            <w:vAlign w:val="center"/>
          </w:tcPr>
          <w:p>
            <w:pPr>
              <w:spacing w:line="27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9" w:line="183" w:lineRule="auto"/>
              <w:ind w:left="144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653" w:type="dxa"/>
            <w:vAlign w:val="center"/>
          </w:tcPr>
          <w:p>
            <w:pPr>
              <w:spacing w:before="38" w:line="231" w:lineRule="auto"/>
              <w:ind w:left="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对重大能源规划、政策落实、电力</w:t>
            </w:r>
            <w:r>
              <w:rPr>
                <w:rFonts w:hint="eastAsia" w:asciiTheme="minorEastAsia" w:hAnsiTheme="minorEastAsia" w:eastAsiaTheme="minorEastAsia" w:cstheme="minorEastAsia"/>
                <w:spacing w:val="15"/>
                <w:sz w:val="21"/>
                <w:szCs w:val="21"/>
              </w:rPr>
              <w:t>建设项目落实和执行相关建设、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</w:rPr>
              <w:t>开发规定情况的行政检查</w:t>
            </w:r>
          </w:p>
        </w:tc>
        <w:tc>
          <w:tcPr>
            <w:tcW w:w="576" w:type="dxa"/>
            <w:vAlign w:val="center"/>
          </w:tcPr>
          <w:p>
            <w:pPr>
              <w:spacing w:before="69" w:line="183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578" w:type="dxa"/>
            <w:vAlign w:val="center"/>
          </w:tcPr>
          <w:p>
            <w:pPr>
              <w:spacing w:line="273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9" w:line="183" w:lineRule="auto"/>
              <w:ind w:left="264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before="169" w:line="248" w:lineRule="auto"/>
              <w:ind w:left="1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7"/>
                <w:sz w:val="21"/>
                <w:szCs w:val="21"/>
              </w:rPr>
              <w:t>新建</w:t>
            </w:r>
            <w:r>
              <w:rPr>
                <w:rFonts w:hint="eastAsia" w:asciiTheme="minorEastAsia" w:hAnsiTheme="minorEastAsia" w:eastAsiaTheme="minorEastAsia" w:cstheme="minorEastAsia"/>
                <w:spacing w:val="17"/>
                <w:sz w:val="21"/>
                <w:szCs w:val="21"/>
                <w:lang w:val="en-US" w:eastAsia="zh-CN"/>
              </w:rPr>
              <w:t>220KV变电站及</w:t>
            </w:r>
            <w:r>
              <w:rPr>
                <w:rFonts w:hint="eastAsia" w:asciiTheme="minorEastAsia" w:hAnsiTheme="minorEastAsia" w:eastAsiaTheme="minorEastAsia" w:cstheme="minorEastAsia"/>
                <w:spacing w:val="17"/>
                <w:sz w:val="21"/>
                <w:szCs w:val="21"/>
              </w:rPr>
              <w:t>输电线路项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</w:rPr>
              <w:t>目，全年全覆盖检查一次</w:t>
            </w:r>
          </w:p>
        </w:tc>
        <w:tc>
          <w:tcPr>
            <w:tcW w:w="649" w:type="dxa"/>
            <w:vAlign w:val="center"/>
          </w:tcPr>
          <w:p>
            <w:pPr>
              <w:spacing w:before="289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全年</w:t>
            </w:r>
          </w:p>
        </w:tc>
        <w:tc>
          <w:tcPr>
            <w:tcW w:w="818" w:type="dxa"/>
            <w:vAlign w:val="center"/>
          </w:tcPr>
          <w:p>
            <w:pPr>
              <w:spacing w:before="288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电力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  <w:lang w:val="en-US" w:eastAsia="zh-CN"/>
              </w:rPr>
              <w:t>和新能源股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558" w:type="dxa"/>
            <w:vAlign w:val="center"/>
          </w:tcPr>
          <w:p>
            <w:pPr>
              <w:spacing w:line="47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9" w:line="183" w:lineRule="auto"/>
              <w:ind w:left="144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53" w:type="dxa"/>
            <w:vAlign w:val="center"/>
          </w:tcPr>
          <w:p>
            <w:pPr>
              <w:spacing w:before="110" w:line="244" w:lineRule="auto"/>
              <w:ind w:left="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对重大能源规划、政策落实、新能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  <w:sz w:val="21"/>
                <w:szCs w:val="21"/>
              </w:rPr>
              <w:t>源、煤层气开发和油气管网建设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21"/>
                <w:szCs w:val="21"/>
              </w:rPr>
              <w:t>项目落实和执行相关建设、开发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1"/>
                <w:szCs w:val="21"/>
              </w:rPr>
              <w:t>规定情况的行政检查</w:t>
            </w:r>
          </w:p>
        </w:tc>
        <w:tc>
          <w:tcPr>
            <w:tcW w:w="576" w:type="dxa"/>
            <w:vAlign w:val="center"/>
          </w:tcPr>
          <w:p>
            <w:pPr>
              <w:spacing w:before="69" w:line="183" w:lineRule="auto"/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578" w:type="dxa"/>
            <w:vAlign w:val="center"/>
          </w:tcPr>
          <w:p>
            <w:pPr>
              <w:spacing w:line="473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9" w:line="183" w:lineRule="auto"/>
              <w:ind w:left="214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before="68" w:line="233" w:lineRule="auto"/>
              <w:ind w:right="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1"/>
                <w:szCs w:val="21"/>
              </w:rPr>
              <w:t>在建新能源项目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1"/>
                <w:szCs w:val="21"/>
              </w:rPr>
              <w:t>个，每半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年全覆盖检查一次</w:t>
            </w:r>
          </w:p>
        </w:tc>
        <w:tc>
          <w:tcPr>
            <w:tcW w:w="649" w:type="dxa"/>
            <w:vAlign w:val="center"/>
          </w:tcPr>
          <w:p>
            <w:pPr>
              <w:spacing w:before="68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全年</w:t>
            </w:r>
          </w:p>
        </w:tc>
        <w:tc>
          <w:tcPr>
            <w:tcW w:w="818" w:type="dxa"/>
            <w:vAlign w:val="center"/>
          </w:tcPr>
          <w:p>
            <w:pPr>
              <w:spacing w:line="21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电力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  <w:lang w:val="en-US" w:eastAsia="zh-CN"/>
              </w:rPr>
              <w:t>和新能源股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558" w:type="dxa"/>
            <w:vAlign w:val="center"/>
          </w:tcPr>
          <w:p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144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653" w:type="dxa"/>
            <w:vAlign w:val="center"/>
          </w:tcPr>
          <w:p>
            <w:pPr>
              <w:spacing w:before="68" w:line="224" w:lineRule="auto"/>
              <w:ind w:right="2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对电力(含自备电厂)、新能源企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业安全生产情况的行政检查</w:t>
            </w:r>
          </w:p>
        </w:tc>
        <w:tc>
          <w:tcPr>
            <w:tcW w:w="576" w:type="dxa"/>
            <w:vAlign w:val="center"/>
          </w:tcPr>
          <w:p>
            <w:pPr>
              <w:spacing w:line="254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5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5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5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  <w:p>
            <w:pPr>
              <w:spacing w:line="25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5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183" w:lineRule="auto"/>
              <w:ind w:left="203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78" w:type="dxa"/>
            <w:vAlign w:val="center"/>
          </w:tcPr>
          <w:p>
            <w:pPr>
              <w:spacing w:line="254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5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5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5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5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5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183" w:lineRule="auto"/>
              <w:ind w:left="214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numPr>
                <w:ilvl w:val="0"/>
                <w:numId w:val="0"/>
              </w:numPr>
              <w:spacing w:before="105" w:line="24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</w:rPr>
              <w:t>新能源企业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</w:rPr>
              <w:t>个，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  <w:lang w:val="en-US" w:eastAsia="zh-CN"/>
              </w:rPr>
              <w:t>自备电厂1个，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每季度检查一次</w:t>
            </w:r>
          </w:p>
        </w:tc>
        <w:tc>
          <w:tcPr>
            <w:tcW w:w="649" w:type="dxa"/>
            <w:vAlign w:val="center"/>
          </w:tcPr>
          <w:p>
            <w:pPr>
              <w:spacing w:line="24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6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6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全年</w:t>
            </w:r>
          </w:p>
          <w:p>
            <w:pPr>
              <w:spacing w:before="68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24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电力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  <w:lang w:val="en-US" w:eastAsia="zh-CN"/>
              </w:rPr>
              <w:t>和新能源股</w:t>
            </w:r>
          </w:p>
          <w:p>
            <w:pPr>
              <w:spacing w:before="5" w:line="219" w:lineRule="auto"/>
              <w:ind w:left="28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58" w:type="dxa"/>
            <w:vAlign w:val="center"/>
          </w:tcPr>
          <w:p>
            <w:pPr>
              <w:spacing w:before="180" w:line="182" w:lineRule="auto"/>
              <w:ind w:left="144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653" w:type="dxa"/>
            <w:vAlign w:val="center"/>
          </w:tcPr>
          <w:p>
            <w:pPr>
              <w:spacing w:before="124" w:line="229" w:lineRule="auto"/>
              <w:ind w:left="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2"/>
                <w:sz w:val="21"/>
                <w:szCs w:val="21"/>
              </w:rPr>
              <w:t>对用户“获得电力”服务的行政检查</w:t>
            </w:r>
          </w:p>
        </w:tc>
        <w:tc>
          <w:tcPr>
            <w:tcW w:w="576" w:type="dxa"/>
            <w:vAlign w:val="center"/>
          </w:tcPr>
          <w:p>
            <w:pPr>
              <w:spacing w:before="179" w:line="183" w:lineRule="auto"/>
              <w:ind w:left="203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578" w:type="dxa"/>
            <w:vAlign w:val="center"/>
          </w:tcPr>
          <w:p>
            <w:pPr>
              <w:spacing w:before="179" w:line="183" w:lineRule="auto"/>
              <w:ind w:left="264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before="125" w:line="219" w:lineRule="auto"/>
              <w:ind w:left="1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半年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全覆盖检查一次</w:t>
            </w:r>
          </w:p>
        </w:tc>
        <w:tc>
          <w:tcPr>
            <w:tcW w:w="649" w:type="dxa"/>
            <w:vAlign w:val="center"/>
          </w:tcPr>
          <w:p>
            <w:pPr>
              <w:spacing w:before="125" w:line="219" w:lineRule="auto"/>
              <w:ind w:left="108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全年</w:t>
            </w:r>
          </w:p>
        </w:tc>
        <w:tc>
          <w:tcPr>
            <w:tcW w:w="818" w:type="dxa"/>
            <w:vAlign w:val="center"/>
          </w:tcPr>
          <w:p>
            <w:pPr>
              <w:spacing w:before="124" w:line="219" w:lineRule="auto"/>
              <w:ind w:left="10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电力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  <w:lang w:val="en-US" w:eastAsia="zh-CN"/>
              </w:rPr>
              <w:t>和新能源股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58" w:type="dxa"/>
            <w:vAlign w:val="center"/>
          </w:tcPr>
          <w:p>
            <w:pPr>
              <w:spacing w:before="259" w:line="183" w:lineRule="auto"/>
              <w:ind w:left="144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653" w:type="dxa"/>
            <w:vAlign w:val="center"/>
          </w:tcPr>
          <w:p>
            <w:pPr>
              <w:spacing w:before="84" w:line="226" w:lineRule="auto"/>
              <w:ind w:left="20" w:right="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</w:rPr>
              <w:t>对增量配电业务改革试点项目运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营情况的行政检查</w:t>
            </w:r>
          </w:p>
        </w:tc>
        <w:tc>
          <w:tcPr>
            <w:tcW w:w="576" w:type="dxa"/>
            <w:vAlign w:val="center"/>
          </w:tcPr>
          <w:p>
            <w:pPr>
              <w:spacing w:before="259" w:line="183" w:lineRule="auto"/>
              <w:ind w:left="203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578" w:type="dxa"/>
            <w:vAlign w:val="center"/>
          </w:tcPr>
          <w:p>
            <w:pPr>
              <w:spacing w:before="259" w:line="183" w:lineRule="auto"/>
              <w:ind w:left="264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</w:t>
            </w:r>
          </w:p>
        </w:tc>
        <w:tc>
          <w:tcPr>
            <w:tcW w:w="2235" w:type="dxa"/>
            <w:vAlign w:val="center"/>
          </w:tcPr>
          <w:p>
            <w:pPr>
              <w:spacing w:before="96" w:line="232" w:lineRule="auto"/>
              <w:ind w:left="1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1"/>
                <w:szCs w:val="21"/>
              </w:rPr>
              <w:t>个增量配电项目，每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1"/>
                <w:szCs w:val="21"/>
                <w:lang w:val="en-US" w:eastAsia="zh-CN"/>
              </w:rPr>
              <w:t>季度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1"/>
                <w:szCs w:val="21"/>
              </w:rPr>
              <w:t>全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1"/>
                <w:szCs w:val="21"/>
              </w:rPr>
              <w:t>覆盖检查一次</w:t>
            </w:r>
          </w:p>
        </w:tc>
        <w:tc>
          <w:tcPr>
            <w:tcW w:w="649" w:type="dxa"/>
            <w:vAlign w:val="center"/>
          </w:tcPr>
          <w:p>
            <w:pPr>
              <w:spacing w:before="205" w:line="219" w:lineRule="auto"/>
              <w:ind w:left="108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全年</w:t>
            </w:r>
          </w:p>
        </w:tc>
        <w:tc>
          <w:tcPr>
            <w:tcW w:w="818" w:type="dxa"/>
            <w:vAlign w:val="center"/>
          </w:tcPr>
          <w:p>
            <w:pPr>
              <w:spacing w:before="204" w:line="219" w:lineRule="auto"/>
              <w:ind w:left="10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电力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  <w:lang w:val="en-US" w:eastAsia="zh-CN"/>
              </w:rPr>
              <w:t>和新能源股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58" w:type="dxa"/>
            <w:vAlign w:val="center"/>
          </w:tcPr>
          <w:p>
            <w:pPr>
              <w:spacing w:before="260" w:line="184" w:lineRule="auto"/>
              <w:ind w:left="94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653" w:type="dxa"/>
            <w:vAlign w:val="center"/>
          </w:tcPr>
          <w:p>
            <w:pPr>
              <w:spacing w:before="98" w:line="220" w:lineRule="auto"/>
              <w:ind w:left="20" w:right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</w:rPr>
              <w:t>对煤炭消费减量替代方案落实情</w:t>
            </w:r>
            <w:r>
              <w:rPr>
                <w:rFonts w:hint="eastAsia" w:asciiTheme="minorEastAsia" w:hAnsiTheme="minorEastAsia" w:eastAsiaTheme="minorEastAsia" w:cstheme="minorEastAsia"/>
                <w:spacing w:val="12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</w:rPr>
              <w:t>况的行政检查</w:t>
            </w:r>
          </w:p>
        </w:tc>
        <w:tc>
          <w:tcPr>
            <w:tcW w:w="576" w:type="dxa"/>
            <w:vAlign w:val="center"/>
          </w:tcPr>
          <w:p>
            <w:pPr>
              <w:spacing w:before="261" w:line="183" w:lineRule="auto"/>
              <w:ind w:left="203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578" w:type="dxa"/>
            <w:vAlign w:val="center"/>
          </w:tcPr>
          <w:p>
            <w:pPr>
              <w:spacing w:before="261" w:line="183" w:lineRule="auto"/>
              <w:ind w:left="264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before="87" w:line="236" w:lineRule="auto"/>
              <w:ind w:left="1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涉煤项目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5个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，全年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1"/>
                <w:szCs w:val="21"/>
              </w:rPr>
              <w:t>全覆盖检查一次</w:t>
            </w:r>
          </w:p>
        </w:tc>
        <w:tc>
          <w:tcPr>
            <w:tcW w:w="649" w:type="dxa"/>
            <w:vAlign w:val="center"/>
          </w:tcPr>
          <w:p>
            <w:pPr>
              <w:spacing w:before="207" w:line="219" w:lineRule="auto"/>
              <w:ind w:left="108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全年</w:t>
            </w:r>
          </w:p>
        </w:tc>
        <w:tc>
          <w:tcPr>
            <w:tcW w:w="818" w:type="dxa"/>
            <w:vAlign w:val="center"/>
          </w:tcPr>
          <w:p>
            <w:pPr>
              <w:spacing w:before="206" w:line="219" w:lineRule="auto"/>
              <w:ind w:left="10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电力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  <w:lang w:val="en-US" w:eastAsia="zh-CN"/>
              </w:rPr>
              <w:t>和新能源股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558" w:type="dxa"/>
            <w:vAlign w:val="center"/>
          </w:tcPr>
          <w:p>
            <w:pPr>
              <w:spacing w:before="260" w:line="184" w:lineRule="auto"/>
              <w:jc w:val="center"/>
              <w:rPr>
                <w:rFonts w:hint="default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653" w:type="dxa"/>
            <w:vAlign w:val="center"/>
          </w:tcPr>
          <w:p>
            <w:pPr>
              <w:spacing w:before="99" w:line="237" w:lineRule="auto"/>
              <w:ind w:right="26" w:righ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</w:rPr>
              <w:t>对煤电机组关停拆除验收的行政</w:t>
            </w:r>
            <w:r>
              <w:rPr>
                <w:rFonts w:hint="eastAsia" w:asciiTheme="minorEastAsia" w:hAnsiTheme="minorEastAsia" w:eastAsiaTheme="minorEastAsia" w:cstheme="minorEastAsia"/>
                <w:spacing w:val="12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5"/>
                <w:sz w:val="21"/>
                <w:szCs w:val="21"/>
              </w:rPr>
              <w:t>检查</w:t>
            </w:r>
          </w:p>
        </w:tc>
        <w:tc>
          <w:tcPr>
            <w:tcW w:w="576" w:type="dxa"/>
            <w:vAlign w:val="center"/>
          </w:tcPr>
          <w:p>
            <w:pPr>
              <w:spacing w:before="293" w:line="183" w:lineRule="auto"/>
              <w:ind w:left="213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578" w:type="dxa"/>
            <w:vAlign w:val="center"/>
          </w:tcPr>
          <w:p>
            <w:pPr>
              <w:spacing w:before="293" w:line="183" w:lineRule="auto"/>
              <w:ind w:left="264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before="239" w:line="219" w:lineRule="auto"/>
              <w:ind w:left="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根据关停项目具体情况开展</w:t>
            </w:r>
          </w:p>
        </w:tc>
        <w:tc>
          <w:tcPr>
            <w:tcW w:w="649" w:type="dxa"/>
            <w:vAlign w:val="center"/>
          </w:tcPr>
          <w:p>
            <w:pPr>
              <w:spacing w:before="239" w:line="219" w:lineRule="auto"/>
              <w:ind w:left="118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全年</w:t>
            </w:r>
          </w:p>
        </w:tc>
        <w:tc>
          <w:tcPr>
            <w:tcW w:w="818" w:type="dxa"/>
            <w:vAlign w:val="center"/>
          </w:tcPr>
          <w:p>
            <w:pPr>
              <w:spacing w:before="206" w:line="219" w:lineRule="auto"/>
              <w:ind w:left="109"/>
              <w:jc w:val="center"/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电力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  <w:lang w:val="en-US" w:eastAsia="zh-CN"/>
              </w:rPr>
              <w:t>和新能源股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58" w:type="dxa"/>
            <w:vAlign w:val="center"/>
          </w:tcPr>
          <w:p>
            <w:pPr>
              <w:spacing w:before="260" w:line="184" w:lineRule="auto"/>
              <w:ind w:left="94"/>
              <w:jc w:val="center"/>
              <w:rPr>
                <w:rFonts w:hint="default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653" w:type="dxa"/>
            <w:vAlign w:val="center"/>
          </w:tcPr>
          <w:p>
            <w:pPr>
              <w:spacing w:before="84" w:line="221" w:lineRule="auto"/>
              <w:ind w:right="27" w:righ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</w:rPr>
              <w:t>对用能单位执行能源节约法律法规、落实节能管理情况的行政检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查</w:t>
            </w:r>
          </w:p>
        </w:tc>
        <w:tc>
          <w:tcPr>
            <w:tcW w:w="576" w:type="dxa"/>
            <w:vAlign w:val="center"/>
          </w:tcPr>
          <w:p>
            <w:pPr>
              <w:spacing w:line="307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183" w:lineRule="auto"/>
              <w:ind w:left="213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578" w:type="dxa"/>
            <w:vAlign w:val="center"/>
          </w:tcPr>
          <w:p>
            <w:pPr>
              <w:spacing w:line="307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183" w:lineRule="auto"/>
              <w:ind w:left="214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before="184" w:line="241" w:lineRule="auto"/>
              <w:ind w:left="5" w:leftChars="0" w:right="22" w:righ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3"/>
                <w:sz w:val="21"/>
                <w:szCs w:val="21"/>
                <w:lang w:val="en-US" w:eastAsia="zh-CN"/>
              </w:rPr>
              <w:t>全县25个重点用能单位，每半年检查一次</w:t>
            </w:r>
          </w:p>
        </w:tc>
        <w:tc>
          <w:tcPr>
            <w:tcW w:w="649" w:type="dxa"/>
            <w:vAlign w:val="center"/>
          </w:tcPr>
          <w:p>
            <w:pPr>
              <w:spacing w:line="253" w:lineRule="auto"/>
              <w:jc w:val="center"/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</w:pPr>
          </w:p>
          <w:p>
            <w:pPr>
              <w:spacing w:line="253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全年</w:t>
            </w:r>
          </w:p>
          <w:p>
            <w:pPr>
              <w:spacing w:before="69" w:line="219" w:lineRule="auto"/>
              <w:ind w:left="118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before="206" w:line="219" w:lineRule="auto"/>
              <w:ind w:left="109"/>
              <w:jc w:val="center"/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电力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  <w:lang w:val="en-US" w:eastAsia="zh-CN"/>
              </w:rPr>
              <w:t>和新能源股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58" w:type="dxa"/>
            <w:vAlign w:val="center"/>
          </w:tcPr>
          <w:p>
            <w:pPr>
              <w:spacing w:before="260" w:line="184" w:lineRule="auto"/>
              <w:ind w:left="94"/>
              <w:jc w:val="center"/>
              <w:rPr>
                <w:rFonts w:hint="default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653" w:type="dxa"/>
            <w:vAlign w:val="center"/>
          </w:tcPr>
          <w:p>
            <w:pPr>
              <w:spacing w:before="75" w:line="235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4"/>
                <w:sz w:val="21"/>
                <w:szCs w:val="21"/>
              </w:rPr>
              <w:t>对建设单位固定资产投资项目节</w:t>
            </w:r>
            <w:r>
              <w:rPr>
                <w:rFonts w:hint="eastAsia" w:asciiTheme="minorEastAsia" w:hAnsiTheme="minorEastAsia" w:eastAsiaTheme="minorEastAsia" w:cstheme="minorEastAsia"/>
                <w:spacing w:val="31"/>
                <w:sz w:val="21"/>
                <w:szCs w:val="21"/>
              </w:rPr>
              <w:t>能审查意见落实情况的行政检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查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已整改“两高”项目专项监察</w:t>
            </w:r>
          </w:p>
        </w:tc>
        <w:tc>
          <w:tcPr>
            <w:tcW w:w="576" w:type="dxa"/>
            <w:vAlign w:val="center"/>
          </w:tcPr>
          <w:p>
            <w:pPr>
              <w:spacing w:before="68" w:line="183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578" w:type="dxa"/>
            <w:vAlign w:val="center"/>
          </w:tcPr>
          <w:p>
            <w:pPr>
              <w:spacing w:before="68" w:line="18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10</w:t>
            </w:r>
          </w:p>
        </w:tc>
        <w:tc>
          <w:tcPr>
            <w:tcW w:w="2235" w:type="dxa"/>
            <w:vAlign w:val="center"/>
          </w:tcPr>
          <w:p>
            <w:pPr>
              <w:spacing w:before="185" w:line="243" w:lineRule="auto"/>
              <w:ind w:left="101" w:leftChars="0" w:hanging="101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“两高”项目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个，全年全覆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盖检查一次</w:t>
            </w:r>
          </w:p>
        </w:tc>
        <w:tc>
          <w:tcPr>
            <w:tcW w:w="649" w:type="dxa"/>
            <w:vAlign w:val="center"/>
          </w:tcPr>
          <w:p>
            <w:pPr>
              <w:spacing w:before="68" w:line="219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全年</w:t>
            </w:r>
          </w:p>
        </w:tc>
        <w:tc>
          <w:tcPr>
            <w:tcW w:w="818" w:type="dxa"/>
            <w:vAlign w:val="center"/>
          </w:tcPr>
          <w:p>
            <w:pPr>
              <w:spacing w:before="206" w:line="219" w:lineRule="auto"/>
              <w:ind w:left="109"/>
              <w:jc w:val="center"/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电力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  <w:lang w:val="en-US" w:eastAsia="zh-CN"/>
              </w:rPr>
              <w:t>和新能源股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558" w:type="dxa"/>
            <w:vAlign w:val="center"/>
          </w:tcPr>
          <w:p>
            <w:pPr>
              <w:spacing w:before="260" w:line="184" w:lineRule="auto"/>
              <w:ind w:left="94"/>
              <w:jc w:val="center"/>
              <w:rPr>
                <w:rFonts w:hint="default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653" w:type="dxa"/>
            <w:vAlign w:val="center"/>
          </w:tcPr>
          <w:p>
            <w:pPr>
              <w:spacing w:before="98" w:line="220" w:lineRule="auto"/>
              <w:ind w:left="20" w:right="6"/>
              <w:jc w:val="center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加强煤矿建设项目事中事后监管</w:t>
            </w:r>
          </w:p>
        </w:tc>
        <w:tc>
          <w:tcPr>
            <w:tcW w:w="576" w:type="dxa"/>
            <w:vAlign w:val="center"/>
          </w:tcPr>
          <w:p>
            <w:pPr>
              <w:spacing w:before="261" w:line="183" w:lineRule="auto"/>
              <w:ind w:left="203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78" w:type="dxa"/>
            <w:vAlign w:val="center"/>
          </w:tcPr>
          <w:p>
            <w:pPr>
              <w:spacing w:before="261" w:line="183" w:lineRule="auto"/>
              <w:ind w:left="26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before="87" w:line="236" w:lineRule="auto"/>
              <w:ind w:left="1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季度全覆盖</w:t>
            </w:r>
          </w:p>
        </w:tc>
        <w:tc>
          <w:tcPr>
            <w:tcW w:w="649" w:type="dxa"/>
            <w:vAlign w:val="center"/>
          </w:tcPr>
          <w:p>
            <w:pPr>
              <w:spacing w:before="207" w:line="219" w:lineRule="auto"/>
              <w:jc w:val="center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全年</w:t>
            </w:r>
          </w:p>
        </w:tc>
        <w:tc>
          <w:tcPr>
            <w:tcW w:w="818" w:type="dxa"/>
            <w:vAlign w:val="center"/>
          </w:tcPr>
          <w:p>
            <w:pPr>
              <w:spacing w:before="206" w:line="219" w:lineRule="auto"/>
              <w:ind w:left="109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煤炭和油气股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558" w:type="dxa"/>
            <w:vAlign w:val="center"/>
          </w:tcPr>
          <w:p>
            <w:pPr>
              <w:spacing w:before="260" w:line="184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3653" w:type="dxa"/>
            <w:vAlign w:val="center"/>
          </w:tcPr>
          <w:p>
            <w:pPr>
              <w:spacing w:before="98" w:line="220" w:lineRule="auto"/>
              <w:ind w:left="20" w:right="6"/>
              <w:jc w:val="center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开展洗选企业标准化评定</w:t>
            </w:r>
          </w:p>
        </w:tc>
        <w:tc>
          <w:tcPr>
            <w:tcW w:w="576" w:type="dxa"/>
            <w:vAlign w:val="center"/>
          </w:tcPr>
          <w:p>
            <w:pPr>
              <w:spacing w:before="261" w:line="183" w:lineRule="auto"/>
              <w:ind w:left="203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78" w:type="dxa"/>
            <w:vAlign w:val="center"/>
          </w:tcPr>
          <w:p>
            <w:pPr>
              <w:spacing w:before="261" w:line="183" w:lineRule="auto"/>
              <w:ind w:left="26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before="87" w:line="236" w:lineRule="auto"/>
              <w:ind w:left="1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val="en-US" w:eastAsia="zh-CN"/>
              </w:rPr>
              <w:t>季度抽查一次，全年抽查比例不低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于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50%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。</w:t>
            </w:r>
          </w:p>
        </w:tc>
        <w:tc>
          <w:tcPr>
            <w:tcW w:w="649" w:type="dxa"/>
            <w:vAlign w:val="center"/>
          </w:tcPr>
          <w:p>
            <w:pPr>
              <w:spacing w:before="207" w:line="219" w:lineRule="auto"/>
              <w:ind w:left="108"/>
              <w:jc w:val="center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全年</w:t>
            </w:r>
          </w:p>
        </w:tc>
        <w:tc>
          <w:tcPr>
            <w:tcW w:w="818" w:type="dxa"/>
            <w:vAlign w:val="center"/>
          </w:tcPr>
          <w:p>
            <w:pPr>
              <w:spacing w:before="206" w:line="219" w:lineRule="auto"/>
              <w:jc w:val="center"/>
              <w:rPr>
                <w:rFonts w:hint="default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煤炭和油气股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58" w:type="dxa"/>
            <w:vAlign w:val="center"/>
          </w:tcPr>
          <w:p>
            <w:pPr>
              <w:spacing w:before="260" w:line="184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3653" w:type="dxa"/>
            <w:vAlign w:val="center"/>
          </w:tcPr>
          <w:p>
            <w:pPr>
              <w:spacing w:before="98" w:line="220" w:lineRule="auto"/>
              <w:ind w:left="20" w:right="6"/>
              <w:jc w:val="center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对煤矿企业生产要素公告进行现场核查</w:t>
            </w:r>
          </w:p>
        </w:tc>
        <w:tc>
          <w:tcPr>
            <w:tcW w:w="576" w:type="dxa"/>
            <w:vAlign w:val="center"/>
          </w:tcPr>
          <w:p>
            <w:pPr>
              <w:spacing w:before="261" w:line="183" w:lineRule="auto"/>
              <w:ind w:left="203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78" w:type="dxa"/>
            <w:vAlign w:val="center"/>
          </w:tcPr>
          <w:p>
            <w:pPr>
              <w:spacing w:before="261" w:line="183" w:lineRule="auto"/>
              <w:ind w:left="26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before="87" w:line="236" w:lineRule="auto"/>
              <w:ind w:left="1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季度核查不少于25%，全年全覆盖</w:t>
            </w:r>
          </w:p>
        </w:tc>
        <w:tc>
          <w:tcPr>
            <w:tcW w:w="649" w:type="dxa"/>
            <w:vAlign w:val="center"/>
          </w:tcPr>
          <w:p>
            <w:pPr>
              <w:spacing w:before="207" w:line="219" w:lineRule="auto"/>
              <w:ind w:left="108"/>
              <w:jc w:val="center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全年</w:t>
            </w:r>
          </w:p>
        </w:tc>
        <w:tc>
          <w:tcPr>
            <w:tcW w:w="818" w:type="dxa"/>
            <w:vAlign w:val="center"/>
          </w:tcPr>
          <w:p>
            <w:pPr>
              <w:spacing w:before="206" w:line="219" w:lineRule="auto"/>
              <w:ind w:left="109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煤炭和油气股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58" w:type="dxa"/>
            <w:vAlign w:val="center"/>
          </w:tcPr>
          <w:p>
            <w:pPr>
              <w:spacing w:before="260" w:line="184" w:lineRule="auto"/>
              <w:ind w:left="94"/>
              <w:jc w:val="center"/>
              <w:rPr>
                <w:rFonts w:hint="default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653" w:type="dxa"/>
            <w:vAlign w:val="center"/>
          </w:tcPr>
          <w:p>
            <w:pPr>
              <w:spacing w:before="98" w:line="220" w:lineRule="auto"/>
              <w:ind w:right="6"/>
              <w:jc w:val="center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对油气管道建设和保护进行全面排查</w:t>
            </w:r>
          </w:p>
        </w:tc>
        <w:tc>
          <w:tcPr>
            <w:tcW w:w="576" w:type="dxa"/>
            <w:vAlign w:val="center"/>
          </w:tcPr>
          <w:p>
            <w:pPr>
              <w:spacing w:before="261" w:line="183" w:lineRule="auto"/>
              <w:ind w:left="203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78" w:type="dxa"/>
            <w:vAlign w:val="center"/>
          </w:tcPr>
          <w:p>
            <w:pPr>
              <w:spacing w:before="261" w:line="183" w:lineRule="auto"/>
              <w:ind w:left="26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before="98" w:line="220" w:lineRule="auto"/>
              <w:ind w:left="20" w:right="6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每年不少于两次排查</w:t>
            </w:r>
          </w:p>
        </w:tc>
        <w:tc>
          <w:tcPr>
            <w:tcW w:w="649" w:type="dxa"/>
            <w:vAlign w:val="center"/>
          </w:tcPr>
          <w:p>
            <w:pPr>
              <w:spacing w:before="207" w:line="219" w:lineRule="auto"/>
              <w:ind w:left="108"/>
              <w:jc w:val="center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全年</w:t>
            </w:r>
          </w:p>
        </w:tc>
        <w:tc>
          <w:tcPr>
            <w:tcW w:w="818" w:type="dxa"/>
            <w:vAlign w:val="center"/>
          </w:tcPr>
          <w:p>
            <w:pPr>
              <w:spacing w:before="206" w:line="219" w:lineRule="auto"/>
              <w:ind w:left="109"/>
              <w:jc w:val="center"/>
              <w:rPr>
                <w:rFonts w:hint="default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煤炭和油气股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58" w:type="dxa"/>
            <w:vAlign w:val="center"/>
          </w:tcPr>
          <w:p>
            <w:pPr>
              <w:spacing w:before="260" w:line="184" w:lineRule="auto"/>
              <w:ind w:left="94"/>
              <w:jc w:val="center"/>
              <w:rPr>
                <w:rFonts w:hint="default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653" w:type="dxa"/>
            <w:vAlign w:val="center"/>
          </w:tcPr>
          <w:p>
            <w:pPr>
              <w:spacing w:before="98" w:line="220" w:lineRule="auto"/>
              <w:ind w:left="20" w:right="6"/>
              <w:jc w:val="center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能源企业固定资产投资项目核准、备案内容的执行情况</w:t>
            </w:r>
          </w:p>
        </w:tc>
        <w:tc>
          <w:tcPr>
            <w:tcW w:w="576" w:type="dxa"/>
            <w:vAlign w:val="center"/>
          </w:tcPr>
          <w:p>
            <w:pPr>
              <w:spacing w:before="261" w:line="183" w:lineRule="auto"/>
              <w:ind w:left="203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78" w:type="dxa"/>
            <w:vAlign w:val="center"/>
          </w:tcPr>
          <w:p>
            <w:pPr>
              <w:spacing w:before="261" w:line="183" w:lineRule="auto"/>
              <w:ind w:left="26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before="87" w:line="236" w:lineRule="auto"/>
              <w:ind w:left="15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每半年一次</w:t>
            </w:r>
          </w:p>
        </w:tc>
        <w:tc>
          <w:tcPr>
            <w:tcW w:w="649" w:type="dxa"/>
            <w:vAlign w:val="center"/>
          </w:tcPr>
          <w:p>
            <w:pPr>
              <w:spacing w:before="207" w:line="219" w:lineRule="auto"/>
              <w:ind w:left="108"/>
              <w:jc w:val="center"/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全年</w:t>
            </w:r>
          </w:p>
        </w:tc>
        <w:tc>
          <w:tcPr>
            <w:tcW w:w="818" w:type="dxa"/>
            <w:vAlign w:val="center"/>
          </w:tcPr>
          <w:p>
            <w:pPr>
              <w:spacing w:before="206" w:line="219" w:lineRule="auto"/>
              <w:ind w:left="109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发展规划股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58" w:type="dxa"/>
            <w:vAlign w:val="center"/>
          </w:tcPr>
          <w:p>
            <w:pPr>
              <w:spacing w:before="260" w:line="184" w:lineRule="auto"/>
              <w:ind w:firstLine="198" w:firstLineChars="100"/>
              <w:jc w:val="center"/>
              <w:rPr>
                <w:rFonts w:hint="default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653" w:type="dxa"/>
            <w:vAlign w:val="center"/>
          </w:tcPr>
          <w:p>
            <w:pPr>
              <w:spacing w:before="98" w:line="220" w:lineRule="auto"/>
              <w:ind w:left="20" w:right="6"/>
              <w:jc w:val="center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督促辖区内煤炭企业（省属煤炭集团煤矿除外）按照政策规定，足额完成电煤中长期合同签订任务</w:t>
            </w:r>
          </w:p>
        </w:tc>
        <w:tc>
          <w:tcPr>
            <w:tcW w:w="576" w:type="dxa"/>
            <w:vAlign w:val="center"/>
          </w:tcPr>
          <w:p>
            <w:pPr>
              <w:spacing w:before="261" w:line="183" w:lineRule="auto"/>
              <w:ind w:left="203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78" w:type="dxa"/>
            <w:vAlign w:val="center"/>
          </w:tcPr>
          <w:p>
            <w:pPr>
              <w:spacing w:before="261" w:line="183" w:lineRule="auto"/>
              <w:ind w:left="26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before="87" w:line="236" w:lineRule="auto"/>
              <w:ind w:left="15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每年一次</w:t>
            </w:r>
          </w:p>
        </w:tc>
        <w:tc>
          <w:tcPr>
            <w:tcW w:w="649" w:type="dxa"/>
            <w:vAlign w:val="center"/>
          </w:tcPr>
          <w:p>
            <w:pPr>
              <w:spacing w:before="207" w:line="219" w:lineRule="auto"/>
              <w:ind w:left="108"/>
              <w:jc w:val="center"/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全年</w:t>
            </w:r>
          </w:p>
        </w:tc>
        <w:tc>
          <w:tcPr>
            <w:tcW w:w="818" w:type="dxa"/>
            <w:vAlign w:val="center"/>
          </w:tcPr>
          <w:p>
            <w:pPr>
              <w:spacing w:before="206" w:line="219" w:lineRule="auto"/>
              <w:ind w:left="109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发展规划股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58" w:type="dxa"/>
            <w:vAlign w:val="center"/>
          </w:tcPr>
          <w:p>
            <w:pPr>
              <w:spacing w:before="260" w:line="184" w:lineRule="auto"/>
              <w:ind w:left="94"/>
              <w:jc w:val="center"/>
              <w:rPr>
                <w:rFonts w:hint="default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653" w:type="dxa"/>
            <w:vAlign w:val="center"/>
          </w:tcPr>
          <w:p>
            <w:pPr>
              <w:spacing w:before="98" w:line="220" w:lineRule="auto"/>
              <w:ind w:left="20" w:right="6"/>
              <w:jc w:val="center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加强电煤中长期合同督导检查</w:t>
            </w:r>
          </w:p>
        </w:tc>
        <w:tc>
          <w:tcPr>
            <w:tcW w:w="576" w:type="dxa"/>
            <w:vAlign w:val="center"/>
          </w:tcPr>
          <w:p>
            <w:pPr>
              <w:spacing w:before="261" w:line="183" w:lineRule="auto"/>
              <w:ind w:left="203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78" w:type="dxa"/>
            <w:vAlign w:val="center"/>
          </w:tcPr>
          <w:p>
            <w:pPr>
              <w:spacing w:before="261" w:line="183" w:lineRule="auto"/>
              <w:ind w:left="26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before="87" w:line="236" w:lineRule="auto"/>
              <w:ind w:left="1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按月对电煤中长期合同履约情况、价格执行情况开展抽查核查，确保煤炭、电力、供热企业按照序时进度严格执行合同。督促煤炭企业按照约定兑现煤量、煤质，并按时报送合同月度履行情况</w:t>
            </w:r>
          </w:p>
        </w:tc>
        <w:tc>
          <w:tcPr>
            <w:tcW w:w="649" w:type="dxa"/>
            <w:vAlign w:val="center"/>
          </w:tcPr>
          <w:p>
            <w:pPr>
              <w:spacing w:before="207" w:line="219" w:lineRule="auto"/>
              <w:ind w:left="108"/>
              <w:jc w:val="center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全年</w:t>
            </w:r>
          </w:p>
        </w:tc>
        <w:tc>
          <w:tcPr>
            <w:tcW w:w="818" w:type="dxa"/>
            <w:vAlign w:val="center"/>
          </w:tcPr>
          <w:p>
            <w:pPr>
              <w:spacing w:before="206" w:line="219" w:lineRule="auto"/>
              <w:ind w:left="109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发展规划股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558" w:type="dxa"/>
            <w:vAlign w:val="center"/>
          </w:tcPr>
          <w:p>
            <w:pPr>
              <w:spacing w:before="260" w:line="184" w:lineRule="auto"/>
              <w:jc w:val="center"/>
              <w:rPr>
                <w:rFonts w:hint="default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653" w:type="dxa"/>
            <w:vAlign w:val="center"/>
          </w:tcPr>
          <w:p>
            <w:pPr>
              <w:spacing w:before="98" w:line="220" w:lineRule="auto"/>
              <w:ind w:left="20" w:right="6"/>
              <w:jc w:val="center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督查煤矿企业严格执行临时停产、减产报告制度</w:t>
            </w:r>
          </w:p>
        </w:tc>
        <w:tc>
          <w:tcPr>
            <w:tcW w:w="576" w:type="dxa"/>
            <w:vAlign w:val="center"/>
          </w:tcPr>
          <w:p>
            <w:pPr>
              <w:spacing w:before="261" w:line="183" w:lineRule="auto"/>
              <w:ind w:left="203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78" w:type="dxa"/>
            <w:vAlign w:val="center"/>
          </w:tcPr>
          <w:p>
            <w:pPr>
              <w:spacing w:before="261" w:line="183" w:lineRule="auto"/>
              <w:ind w:left="26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before="87" w:line="236" w:lineRule="auto"/>
              <w:ind w:left="15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每半年一次</w:t>
            </w:r>
          </w:p>
        </w:tc>
        <w:tc>
          <w:tcPr>
            <w:tcW w:w="649" w:type="dxa"/>
            <w:vAlign w:val="center"/>
          </w:tcPr>
          <w:p>
            <w:pPr>
              <w:spacing w:before="207" w:line="219" w:lineRule="auto"/>
              <w:ind w:left="108"/>
              <w:jc w:val="center"/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全年</w:t>
            </w:r>
          </w:p>
        </w:tc>
        <w:tc>
          <w:tcPr>
            <w:tcW w:w="818" w:type="dxa"/>
            <w:vAlign w:val="center"/>
          </w:tcPr>
          <w:p>
            <w:pPr>
              <w:spacing w:before="206" w:line="219" w:lineRule="auto"/>
              <w:ind w:left="109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发展规划股</w:t>
            </w:r>
          </w:p>
        </w:tc>
      </w:tr>
    </w:tbl>
    <w:p/>
    <w:p>
      <w:pPr>
        <w:pStyle w:val="9"/>
      </w:pPr>
    </w:p>
    <w:p>
      <w:pPr>
        <w:pStyle w:val="5"/>
      </w:pPr>
    </w:p>
    <w:p/>
    <w:p>
      <w:pPr>
        <w:pStyle w:val="9"/>
      </w:pPr>
    </w:p>
    <w:p>
      <w:pPr>
        <w:pStyle w:val="5"/>
      </w:pPr>
    </w:p>
    <w:p/>
    <w:p>
      <w:pPr>
        <w:pStyle w:val="9"/>
      </w:pPr>
    </w:p>
    <w:p>
      <w:pPr>
        <w:pStyle w:val="5"/>
      </w:pPr>
    </w:p>
    <w:p/>
    <w:p>
      <w:pPr>
        <w:spacing w:before="68" w:line="20" w:lineRule="exact"/>
        <w:textAlignment w:val="center"/>
      </w:pPr>
    </w:p>
    <w:sectPr>
      <w:headerReference r:id="rId5" w:type="default"/>
      <w:footerReference r:id="rId6" w:type="default"/>
      <w:pgSz w:w="11900" w:h="16830"/>
      <w:pgMar w:top="1417" w:right="1774" w:bottom="1417" w:left="17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GZiZjAxMGYxN2MwYzE3NmFmOWFhYjkzNzhkYzNkYTUifQ=="/>
  </w:docVars>
  <w:rsids>
    <w:rsidRoot w:val="00000000"/>
    <w:rsid w:val="00AB614F"/>
    <w:rsid w:val="016E2F6B"/>
    <w:rsid w:val="020C008E"/>
    <w:rsid w:val="021A6C4F"/>
    <w:rsid w:val="027302F2"/>
    <w:rsid w:val="02E62FD5"/>
    <w:rsid w:val="0328714A"/>
    <w:rsid w:val="04391ECE"/>
    <w:rsid w:val="04F63111"/>
    <w:rsid w:val="0619721E"/>
    <w:rsid w:val="070E2AFA"/>
    <w:rsid w:val="07155FF8"/>
    <w:rsid w:val="09063A89"/>
    <w:rsid w:val="0A037FC9"/>
    <w:rsid w:val="0B352404"/>
    <w:rsid w:val="0E4D3F08"/>
    <w:rsid w:val="0FD07480"/>
    <w:rsid w:val="11F34DC7"/>
    <w:rsid w:val="132845AF"/>
    <w:rsid w:val="15383FEA"/>
    <w:rsid w:val="157B727D"/>
    <w:rsid w:val="15F31839"/>
    <w:rsid w:val="17B40B54"/>
    <w:rsid w:val="1A271AB1"/>
    <w:rsid w:val="1DC00253"/>
    <w:rsid w:val="1E603AB1"/>
    <w:rsid w:val="1F5D04BD"/>
    <w:rsid w:val="21802847"/>
    <w:rsid w:val="22471B27"/>
    <w:rsid w:val="22635651"/>
    <w:rsid w:val="251C36CC"/>
    <w:rsid w:val="252E1F46"/>
    <w:rsid w:val="276C49D7"/>
    <w:rsid w:val="28F90ABD"/>
    <w:rsid w:val="28FD67FF"/>
    <w:rsid w:val="29095C9D"/>
    <w:rsid w:val="2CC15D95"/>
    <w:rsid w:val="301B3A0F"/>
    <w:rsid w:val="30B005FB"/>
    <w:rsid w:val="3166188C"/>
    <w:rsid w:val="324E1E79"/>
    <w:rsid w:val="345E036E"/>
    <w:rsid w:val="34C12DD7"/>
    <w:rsid w:val="37040C72"/>
    <w:rsid w:val="38DE55D9"/>
    <w:rsid w:val="3A8A1FEE"/>
    <w:rsid w:val="3BB078EF"/>
    <w:rsid w:val="3C0156FE"/>
    <w:rsid w:val="3EEF7D91"/>
    <w:rsid w:val="3F32042D"/>
    <w:rsid w:val="40C41559"/>
    <w:rsid w:val="40E13EB9"/>
    <w:rsid w:val="415B010F"/>
    <w:rsid w:val="437041B5"/>
    <w:rsid w:val="43F565F9"/>
    <w:rsid w:val="44692B43"/>
    <w:rsid w:val="487F04C2"/>
    <w:rsid w:val="4B1803B6"/>
    <w:rsid w:val="4C702DB4"/>
    <w:rsid w:val="4CC528E0"/>
    <w:rsid w:val="4DD25FCB"/>
    <w:rsid w:val="4EC310A1"/>
    <w:rsid w:val="4F2E6E63"/>
    <w:rsid w:val="4F8545A9"/>
    <w:rsid w:val="51256043"/>
    <w:rsid w:val="53530C46"/>
    <w:rsid w:val="55144405"/>
    <w:rsid w:val="5588094F"/>
    <w:rsid w:val="56C836F9"/>
    <w:rsid w:val="576B7E63"/>
    <w:rsid w:val="5846152F"/>
    <w:rsid w:val="5CDC1CAC"/>
    <w:rsid w:val="5D1D4073"/>
    <w:rsid w:val="5F100333"/>
    <w:rsid w:val="618C17C7"/>
    <w:rsid w:val="626B762E"/>
    <w:rsid w:val="67CE17C8"/>
    <w:rsid w:val="6804648C"/>
    <w:rsid w:val="69C64E4E"/>
    <w:rsid w:val="6A701688"/>
    <w:rsid w:val="6A8D2838"/>
    <w:rsid w:val="6AED1528"/>
    <w:rsid w:val="6B7F6714"/>
    <w:rsid w:val="6C5631D7"/>
    <w:rsid w:val="6CFA1CDB"/>
    <w:rsid w:val="6D227371"/>
    <w:rsid w:val="6DC8106A"/>
    <w:rsid w:val="700E61C9"/>
    <w:rsid w:val="706933FF"/>
    <w:rsid w:val="71CF7BDA"/>
    <w:rsid w:val="7318735E"/>
    <w:rsid w:val="73441F01"/>
    <w:rsid w:val="73CD3228"/>
    <w:rsid w:val="759C7DD3"/>
    <w:rsid w:val="75EF63C8"/>
    <w:rsid w:val="77703384"/>
    <w:rsid w:val="7A6D7F90"/>
    <w:rsid w:val="7A9D1530"/>
    <w:rsid w:val="7B087CB8"/>
    <w:rsid w:val="7B2A5E81"/>
    <w:rsid w:val="7B8A3D80"/>
    <w:rsid w:val="7C36361A"/>
    <w:rsid w:val="7D6560B8"/>
    <w:rsid w:val="7E573431"/>
    <w:rsid w:val="7E8D0E45"/>
    <w:rsid w:val="7F712344"/>
    <w:rsid w:val="7F7413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0" w:lineRule="atLeast"/>
    </w:pPr>
    <w:rPr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oc 2"/>
    <w:basedOn w:val="1"/>
    <w:next w:val="1"/>
    <w:qFormat/>
    <w:uiPriority w:val="39"/>
    <w:pPr>
      <w:widowControl/>
      <w:ind w:left="420" w:leftChars="200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5">
    <w:name w:val="Normal (Web)"/>
    <w:basedOn w:val="1"/>
    <w:next w:val="1"/>
    <w:qFormat/>
    <w:uiPriority w:val="0"/>
    <w:rPr>
      <w:rFonts w:ascii="Times New Roman" w:hAnsi="Times New Roman"/>
      <w:sz w:val="24"/>
      <w:szCs w:val="24"/>
    </w:rPr>
  </w:style>
  <w:style w:type="paragraph" w:styleId="6">
    <w:name w:val="Body Text First Indent"/>
    <w:basedOn w:val="2"/>
    <w:qFormat/>
    <w:uiPriority w:val="0"/>
    <w:pPr>
      <w:spacing w:line="312" w:lineRule="auto"/>
      <w:ind w:firstLine="420"/>
    </w:pPr>
    <w:rPr>
      <w:sz w:val="21"/>
    </w:rPr>
  </w:style>
  <w:style w:type="paragraph" w:customStyle="1" w:styleId="9">
    <w:name w:val="正文首行缩进 21"/>
    <w:basedOn w:val="10"/>
    <w:next w:val="5"/>
    <w:qFormat/>
    <w:uiPriority w:val="0"/>
    <w:rPr>
      <w:rFonts w:eastAsia="仿宋_GB2312"/>
      <w:sz w:val="32"/>
      <w:szCs w:val="32"/>
    </w:rPr>
  </w:style>
  <w:style w:type="paragraph" w:customStyle="1" w:styleId="10">
    <w:name w:val="正文文本缩进1"/>
    <w:basedOn w:val="1"/>
    <w:qFormat/>
    <w:uiPriority w:val="0"/>
    <w:pPr>
      <w:spacing w:line="600" w:lineRule="exact"/>
      <w:ind w:left="200" w:leftChars="200"/>
    </w:pPr>
    <w:rPr>
      <w:rFonts w:ascii="Calibri" w:hAnsi="Calibri" w:eastAsia="仿宋_GB2312" w:cs="黑体"/>
      <w:sz w:val="32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2759</Words>
  <Characters>2794</Characters>
  <TotalTime>9</TotalTime>
  <ScaleCrop>false</ScaleCrop>
  <LinksUpToDate>false</LinksUpToDate>
  <CharactersWithSpaces>2967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2023-03-30T15:57:00Z</dcterms:created>
  <dc:creator>Kingsoft-PDF</dc:creator>
  <cp:lastModifiedBy>C'estbon 賈</cp:lastModifiedBy>
  <cp:lastPrinted>2023-04-11T09:08:00Z</cp:lastPrinted>
  <dcterms:modified xsi:type="dcterms:W3CDTF">2023-04-17T09:47:22Z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2023-03-30T15:57:35Z</vt:filetime>
  </property>
  <property fmtid="{D5CDD505-2E9C-101B-9397-08002B2CF9AE}" pid="4" name="UsrData">
    <vt:lpwstr>642540d80d38b70015519282</vt:lpwstr>
  </property>
  <property fmtid="{D5CDD505-2E9C-101B-9397-08002B2CF9AE}" pid="5" name="KSOProductBuildVer">
    <vt:lpwstr>2052-11.1.0.14036</vt:lpwstr>
  </property>
  <property fmtid="{D5CDD505-2E9C-101B-9397-08002B2CF9AE}" pid="6" name="ICV">
    <vt:lpwstr>C0E5FB8ED6B14FEB9883E69AFE7B33FF_13</vt:lpwstr>
  </property>
</Properties>
</file>