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沁源县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信访局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年政府信息公开工作年度报告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2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一、 总体情况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信访局在市政府的统一部署下，深入贯彻落实《中华人民共和国政府信息公开条例》，按照依法公开、真实公正原则，扎实推进政府信息公开工作。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（一）加强领导，强化责任。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完善局政府信息公开领导小组，形成分级负责、层层把关的工作格局，确保政府信息公开工作的统筹组织和有序开展。严格按照“谁审查、谁负责，谁发布、谁负责，先审查、后发布”和“涉密信息不上网，上网信息不涉密”的原则，发布信息。</w:t>
      </w:r>
    </w:p>
    <w:p>
      <w:pPr>
        <w:numPr>
          <w:ilvl w:val="0"/>
          <w:numId w:val="0"/>
        </w:numPr>
        <w:ind w:firstLine="643" w:firstLineChars="200"/>
        <w:jc w:val="left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（二）突出重点，主动公开。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沁源县信访局在政务数据共享平台挂载信息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9条，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向国家级、省、市媒体及微信公众号推送相关信息15条，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借助沁源融媒公众号发布《信访工作条例》全文，对信访条例宣传片进行转播，并动员县直单位、各乡镇关注省、市信访公众号和今日头条号，广泛宣传、转发和点击，录制《条例》音频，并运用宣传车进行“五进”宣传活动，通过“大喇叭”奏响新时代信访最强音，有效增强全民的法律意识和法律素质，提高了各级干部依法办事的能力和水平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（三）丰富宣传形式，提升群众知晓率。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信访局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借助沁源电视台、沁源融媒公众号等多种形式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向群众公开宣传工作动态，增强了信访工作透明度，维护广大人民群众的知情权、参与权和监督权。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72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二、主动公开政府信息情况</w:t>
      </w:r>
    </w:p>
    <w:tbl>
      <w:tblPr>
        <w:tblStyle w:val="4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3105"/>
        <w:gridCol w:w="1875"/>
        <w:gridCol w:w="1260"/>
        <w:gridCol w:w="189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13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第二十条第（一）项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3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信息内容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本年制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发件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数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废止件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数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现行有效件数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3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规章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3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行政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规范性文件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13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第二十条第（五）项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3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信息内容</w:t>
            </w:r>
          </w:p>
        </w:tc>
        <w:tc>
          <w:tcPr>
            <w:tcW w:w="50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3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0" w:name="_GoBack" w:colFirst="1" w:colLast="3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行政许可</w:t>
            </w:r>
          </w:p>
        </w:tc>
        <w:tc>
          <w:tcPr>
            <w:tcW w:w="50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bookmarkEnd w:id="0"/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13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第二十条第（六）项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3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信息内容</w:t>
            </w:r>
          </w:p>
        </w:tc>
        <w:tc>
          <w:tcPr>
            <w:tcW w:w="50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本年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3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行政处罚</w:t>
            </w:r>
          </w:p>
        </w:tc>
        <w:tc>
          <w:tcPr>
            <w:tcW w:w="50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3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行政强制</w:t>
            </w:r>
          </w:p>
        </w:tc>
        <w:tc>
          <w:tcPr>
            <w:tcW w:w="50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13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第二十条第（八）项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3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信息内容</w:t>
            </w:r>
          </w:p>
        </w:tc>
        <w:tc>
          <w:tcPr>
            <w:tcW w:w="50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3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行政事业性收费</w:t>
            </w:r>
          </w:p>
        </w:tc>
        <w:tc>
          <w:tcPr>
            <w:tcW w:w="50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</w:tbl>
    <w:p>
      <w:pP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br w:type="page"/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2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三、收到和处理政府信息公开申请情况</w:t>
      </w:r>
    </w:p>
    <w:tbl>
      <w:tblPr>
        <w:tblStyle w:val="4"/>
        <w:tblW w:w="8314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656"/>
        <w:gridCol w:w="976"/>
        <w:gridCol w:w="413"/>
        <w:gridCol w:w="1390"/>
        <w:gridCol w:w="712"/>
        <w:gridCol w:w="665"/>
        <w:gridCol w:w="665"/>
        <w:gridCol w:w="712"/>
        <w:gridCol w:w="831"/>
        <w:gridCol w:w="653"/>
        <w:gridCol w:w="64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3435" w:type="dxa"/>
            <w:gridSpan w:val="4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487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申请人情况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3435" w:type="dxa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1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自然人</w:t>
            </w:r>
          </w:p>
        </w:tc>
        <w:tc>
          <w:tcPr>
            <w:tcW w:w="352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法人或其他组织</w:t>
            </w:r>
          </w:p>
        </w:tc>
        <w:tc>
          <w:tcPr>
            <w:tcW w:w="64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3435" w:type="dxa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商业企业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科研机构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社会公益组织</w:t>
            </w:r>
          </w:p>
        </w:tc>
        <w:tc>
          <w:tcPr>
            <w:tcW w:w="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法律服务机构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</w:t>
            </w:r>
          </w:p>
        </w:tc>
        <w:tc>
          <w:tcPr>
            <w:tcW w:w="64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34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34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三、本年度办理结果</w:t>
            </w:r>
          </w:p>
        </w:tc>
        <w:tc>
          <w:tcPr>
            <w:tcW w:w="27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（一）予以公开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</w:tblPrEx>
        <w:tc>
          <w:tcPr>
            <w:tcW w:w="6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（三）不予公开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1.属于国家秘密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2.其他法律行政法规禁止公开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3.危及“三安全一稳定”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</w:tblPrEx>
        <w:tc>
          <w:tcPr>
            <w:tcW w:w="6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4.保护第三方合法权益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5.属于三类内部事务信息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6.属于四类过程性信息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7.属于行政执法案卷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</w:tblPrEx>
        <w:tc>
          <w:tcPr>
            <w:tcW w:w="6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8.属于行政查询事项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（四）无法提供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1.本机关不掌握相关政府信息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2.没有现成信息需要另行制作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3.补正后申请内容仍不明确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</w:tblPrEx>
        <w:tc>
          <w:tcPr>
            <w:tcW w:w="6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（五）不予处理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1.信访举报投诉类申请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2.重复申请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3.要求提供公开出版物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4.无正当理由大量反复申请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</w:tblPrEx>
        <w:tc>
          <w:tcPr>
            <w:tcW w:w="6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5.要求行政机关确认或重新出具已获取信息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488" w:hRule="atLeast"/>
        </w:trPr>
        <w:tc>
          <w:tcPr>
            <w:tcW w:w="6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89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（六）其他处理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1.申请人无正当理由逾期不补正、行政机关不再处理政府信息公开申请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83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36" w:hRule="atLeast"/>
        </w:trPr>
        <w:tc>
          <w:tcPr>
            <w:tcW w:w="65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</w:p>
        </w:tc>
        <w:tc>
          <w:tcPr>
            <w:tcW w:w="1389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71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6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65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3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36" w:hRule="atLeast"/>
        </w:trPr>
        <w:tc>
          <w:tcPr>
            <w:tcW w:w="65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</w:p>
        </w:tc>
        <w:tc>
          <w:tcPr>
            <w:tcW w:w="1389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3.其他</w:t>
            </w:r>
          </w:p>
        </w:tc>
        <w:tc>
          <w:tcPr>
            <w:tcW w:w="71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6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6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3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（七）总计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34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四、结转下年度继续办理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72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四、政府信息公开行政复议、行政诉讼情况</w:t>
      </w:r>
    </w:p>
    <w:tbl>
      <w:tblPr>
        <w:tblStyle w:val="4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551"/>
        <w:gridCol w:w="551"/>
        <w:gridCol w:w="552"/>
        <w:gridCol w:w="552"/>
        <w:gridCol w:w="601"/>
        <w:gridCol w:w="503"/>
        <w:gridCol w:w="552"/>
        <w:gridCol w:w="552"/>
        <w:gridCol w:w="552"/>
        <w:gridCol w:w="576"/>
        <w:gridCol w:w="552"/>
        <w:gridCol w:w="552"/>
        <w:gridCol w:w="552"/>
        <w:gridCol w:w="552"/>
        <w:gridCol w:w="5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306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行政复议</w:t>
            </w:r>
          </w:p>
        </w:tc>
        <w:tc>
          <w:tcPr>
            <w:tcW w:w="598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行政诉讼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尚未审结</w:t>
            </w:r>
          </w:p>
        </w:tc>
        <w:tc>
          <w:tcPr>
            <w:tcW w:w="6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未经复议直接起诉</w:t>
            </w:r>
          </w:p>
        </w:tc>
        <w:tc>
          <w:tcPr>
            <w:tcW w:w="301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复议后起诉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结果维持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结果纠正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其他结果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尚未审结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总计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结果维持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结果纠正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其他结果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尚未审结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72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五、存在的主要问题及改进情况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信访局政务信息公开工作虽然取得了一定成绩，还存在业务技能有待提升、服务水平有待提高等问题。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改进措施：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进一步提高宣传力度，畅通政府信息公开渠道，加强信息报送工作力度。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进一步加大培训力度，制定年度培训计划，开展政务公开业务培训，提高工作人员发布信息、政策解读、回应问题能力。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进一步加强队伍建设，明确专人负责信息报送、发布等工作，切实增强信息报送及时性、有效性、全面性。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72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六、其他需要报告的事项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无。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xNTU2ZmZlY2MyODdmYmM5OWI3ZTNlZGEyMTY2M2MifQ=="/>
  </w:docVars>
  <w:rsids>
    <w:rsidRoot w:val="135A2146"/>
    <w:rsid w:val="0B6121D2"/>
    <w:rsid w:val="0E026F30"/>
    <w:rsid w:val="0E0D7668"/>
    <w:rsid w:val="135A2146"/>
    <w:rsid w:val="24417B1D"/>
    <w:rsid w:val="25FC0A09"/>
    <w:rsid w:val="2869648D"/>
    <w:rsid w:val="308B0B94"/>
    <w:rsid w:val="37603F8F"/>
    <w:rsid w:val="483127F4"/>
    <w:rsid w:val="4CA64F99"/>
    <w:rsid w:val="634649AC"/>
    <w:rsid w:val="6E925D80"/>
    <w:rsid w:val="7D95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1624</Words>
  <Characters>1656</Characters>
  <Lines>0</Lines>
  <Paragraphs>0</Paragraphs>
  <TotalTime>14</TotalTime>
  <ScaleCrop>false</ScaleCrop>
  <LinksUpToDate>false</LinksUpToDate>
  <CharactersWithSpaces>1657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2023-02-01T03:38:00Z</dcterms:created>
  <dc:creator>熙淳</dc:creator>
  <cp:lastModifiedBy>辉辉OPPOvivo体验店</cp:lastModifiedBy>
  <cp:lastPrinted>2023-02-02T02:18:00Z</cp:lastPrinted>
  <dcterms:modified xsi:type="dcterms:W3CDTF">2023-02-02T03:41:06Z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A3159A537DA140488158611B4E082261</vt:lpwstr>
  </property>
</Properties>
</file>