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13E4A">
      <w:pPr>
        <w:jc w:val="center"/>
        <w:rPr>
          <w:rFonts w:hint="eastAsia" w:ascii="宋体" w:hAnsi="宋体" w:eastAsia="宋体"/>
          <w:b/>
          <w:sz w:val="44"/>
          <w:szCs w:val="44"/>
          <w:lang w:eastAsia="zh-CN"/>
        </w:rPr>
      </w:pPr>
      <w:r>
        <w:rPr>
          <w:rFonts w:hint="eastAsia" w:ascii="宋体" w:hAnsi="宋体" w:eastAsia="宋体"/>
          <w:b/>
          <w:sz w:val="44"/>
          <w:szCs w:val="44"/>
        </w:rPr>
        <w:t>沁源县</w:t>
      </w:r>
      <w:r>
        <w:rPr>
          <w:rFonts w:hint="eastAsia" w:ascii="宋体" w:hAnsi="宋体" w:eastAsia="宋体"/>
          <w:b/>
          <w:sz w:val="44"/>
          <w:szCs w:val="44"/>
          <w:lang w:eastAsia="zh-CN"/>
        </w:rPr>
        <w:t>退役军人事务局</w:t>
      </w:r>
    </w:p>
    <w:p w14:paraId="097D4A65">
      <w:pPr>
        <w:spacing w:line="600" w:lineRule="exact"/>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2024年法治政府建设年度报告</w:t>
      </w:r>
    </w:p>
    <w:p w14:paraId="5272C949">
      <w:pPr>
        <w:spacing w:line="600" w:lineRule="exact"/>
        <w:ind w:firstLine="865" w:firstLineChars="196"/>
        <w:rPr>
          <w:rFonts w:hint="eastAsia" w:ascii="宋体" w:hAnsi="宋体" w:eastAsia="宋体"/>
          <w:b/>
          <w:sz w:val="44"/>
          <w:szCs w:val="44"/>
          <w:lang w:val="en-US" w:eastAsia="zh-CN"/>
        </w:rPr>
      </w:pPr>
    </w:p>
    <w:p w14:paraId="470920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300" w:firstLine="644" w:firstLineChars="200"/>
        <w:jc w:val="both"/>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202</w:t>
      </w:r>
      <w:r>
        <w:rPr>
          <w:rFonts w:hint="eastAsia" w:ascii="仿宋_GB2312" w:hAnsi="仿宋_GB2312" w:cs="仿宋_GB2312"/>
          <w:color w:val="040404"/>
          <w:sz w:val="32"/>
          <w:szCs w:val="32"/>
          <w:lang w:val="en-US" w:eastAsia="zh-CN"/>
        </w:rPr>
        <w:t>4</w:t>
      </w:r>
      <w:r>
        <w:rPr>
          <w:rFonts w:hint="eastAsia" w:ascii="仿宋_GB2312" w:hAnsi="仿宋_GB2312" w:eastAsia="仿宋_GB2312" w:cs="仿宋_GB2312"/>
          <w:color w:val="040404"/>
          <w:sz w:val="32"/>
          <w:szCs w:val="32"/>
        </w:rPr>
        <w:t>年，在</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委、</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政府的坚强领导和</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委依法治</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办的精心指导下，</w:t>
      </w:r>
      <w:r>
        <w:rPr>
          <w:rFonts w:hint="eastAsia" w:ascii="仿宋_GB2312" w:hAnsi="仿宋_GB2312" w:cs="仿宋_GB2312"/>
          <w:color w:val="040404"/>
          <w:sz w:val="32"/>
          <w:szCs w:val="32"/>
          <w:lang w:eastAsia="zh-CN"/>
        </w:rPr>
        <w:t>沁源县退役军人事务局</w:t>
      </w:r>
      <w:r>
        <w:rPr>
          <w:rFonts w:hint="eastAsia" w:ascii="仿宋_GB2312" w:hAnsi="仿宋_GB2312" w:eastAsia="仿宋_GB2312" w:cs="仿宋_GB2312"/>
          <w:color w:val="040404"/>
          <w:sz w:val="32"/>
          <w:szCs w:val="32"/>
        </w:rPr>
        <w:t>坚持以习近平新时代中国特色社会主义思想为指导，坚持依法行政、大力推进退役军人事务法治化建设，更好地维护涉军群体合法权益，不断提升退役军人和其他优抚对象的满意度。</w:t>
      </w:r>
    </w:p>
    <w:p w14:paraId="1D663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300" w:firstLine="644"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一、2024年推进法治政</w:t>
      </w:r>
      <w:bookmarkStart w:id="0" w:name="_GoBack"/>
      <w:bookmarkEnd w:id="0"/>
      <w:r>
        <w:rPr>
          <w:rFonts w:hint="eastAsia" w:ascii="黑体" w:hAnsi="黑体" w:eastAsia="黑体" w:cs="黑体"/>
          <w:b w:val="0"/>
          <w:bCs/>
          <w:sz w:val="32"/>
          <w:szCs w:val="32"/>
          <w:lang w:val="en-US" w:eastAsia="zh-CN"/>
        </w:rPr>
        <w:t>府建设的主要举措和成效</w:t>
      </w:r>
    </w:p>
    <w:p w14:paraId="0FEF51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4" w:firstLineChars="200"/>
        <w:jc w:val="left"/>
        <w:textAlignment w:val="auto"/>
        <w:rPr>
          <w:rFonts w:hint="eastAsia" w:ascii="仿宋" w:hAnsi="仿宋" w:eastAsia="仿宋" w:cs="仿宋"/>
          <w:b w:val="0"/>
          <w:bCs w:val="0"/>
          <w:sz w:val="32"/>
          <w:szCs w:val="32"/>
          <w:lang w:val="en-US" w:eastAsia="zh-CN"/>
        </w:rPr>
      </w:pPr>
      <w:r>
        <w:rPr>
          <w:rFonts w:hint="eastAsia" w:ascii="楷体_GB2312" w:hAnsi="楷体_GB2312" w:eastAsia="楷体_GB2312" w:cs="楷体_GB2312"/>
          <w:b/>
          <w:bCs w:val="0"/>
          <w:sz w:val="32"/>
          <w:szCs w:val="32"/>
          <w:lang w:val="en-US" w:eastAsia="zh-CN"/>
        </w:rPr>
        <w:t>（一）突出政治引领，全面强化理论武装。</w:t>
      </w:r>
      <w:r>
        <w:rPr>
          <w:rFonts w:hint="eastAsia" w:ascii="仿宋" w:hAnsi="仿宋" w:eastAsia="仿宋" w:cs="仿宋"/>
          <w:b w:val="0"/>
          <w:bCs/>
          <w:sz w:val="32"/>
          <w:szCs w:val="32"/>
          <w:lang w:val="en-US" w:eastAsia="zh-CN"/>
        </w:rPr>
        <w:t>我局始终坚持以习近平法治思想作为推进单位法治建设的根本遵循，增强运用法治思维和法治方式化解退役军人矛盾纠纷、维护他们合法权益的意识和能力。局党组认真落实县委县政府要求，把习近平法治思想作为局机关理论学习的重要内容，坚持定期研究部署法治政府建设工作，将依法行政相关法律政策的学习纳入党组会议、理论中心组（扩大）学习会，将依法行政工作、普法宣传等纳入年度目标任务，与信访工作、党建工作同安排、同部署，确保法治建设各项工作落到实处。</w:t>
      </w:r>
      <w:r>
        <w:rPr>
          <w:rFonts w:hint="eastAsia" w:ascii="仿宋" w:hAnsi="仿宋" w:eastAsia="仿宋" w:cs="仿宋"/>
          <w:b w:val="0"/>
          <w:bCs w:val="0"/>
          <w:sz w:val="32"/>
          <w:szCs w:val="32"/>
          <w:lang w:val="en-US" w:eastAsia="zh-CN"/>
        </w:rPr>
        <w:t>沁源县退役军人事务局多措并举开展学习宣传活动，在全县上下掀起学习宣传热潮。</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以学习为引领，夯实懂法基础。沁源县退役军人事务局把学习贯彻《退役军人安置条例》作为当前的一项重要任务来抓，全县退役军人系统干部职工深刻理解法律法规，牢牢把握相关要求，不断提升依法决策、依法行政的能力水平。县退役军人事务领导小组要求全县各系统、各乡镇将《退役军人安置条例》列入党委（党组）学习内容，构建多层次、立体化、全方位的学习，全县各系统、各乡镇（企业）、村（社区）迅速掀起学习热潮，广泛开展专题宣讲。通过组织学习，全县各级退役军人事务工作人员对《保障法》的学习覆盖率达到100%。</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以宣传为抓手，落实普法责任。利用“宪法宣传周”等多种形式广泛开展《退役军人安置条例》学习宣传，通过印发宣传资料、悬挂宣传横幅、开展法律咨询等方式，向广大群众宣传《中华人民共和国退役军人安置条例》，介绍移交接收、退役安置、教育培训、就业创业、优待抚恤、褒扬激励、服务管理等法律条文，累计发放宣传资料、手册1000余套。</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以宣讲为重点，营造遵法氛围。各乡镇（企业）、村（社区）退役军人服务站通过上门宣传、网络推送报道等形式，不断提升线上线下宣传覆盖率。通过一系列针对性、重点性的宣讲活动，进一步提升了退役军人遵法守法的法治观念和依法维权的法治意识，同时让广大群众认识到尊重、关爱退役军人是全社会的共同责任。</w:t>
      </w:r>
    </w:p>
    <w:p w14:paraId="6BD122C5">
      <w:pPr>
        <w:pageBreakBefore w:val="0"/>
        <w:numPr>
          <w:ilvl w:val="0"/>
          <w:numId w:val="0"/>
        </w:numPr>
        <w:kinsoku/>
        <w:wordWrap/>
        <w:overflowPunct/>
        <w:topLinePunct w:val="0"/>
        <w:autoSpaceDE/>
        <w:autoSpaceDN/>
        <w:bidi w:val="0"/>
        <w:adjustRightInd/>
        <w:snapToGrid/>
        <w:spacing w:line="240" w:lineRule="auto"/>
        <w:ind w:firstLine="644" w:firstLineChars="200"/>
        <w:textAlignment w:val="auto"/>
        <w:rPr>
          <w:rFonts w:hint="eastAsia" w:ascii="仿宋" w:hAnsi="仿宋" w:eastAsia="仿宋" w:cs="仿宋"/>
          <w:b w:val="0"/>
          <w:bCs/>
          <w:sz w:val="32"/>
          <w:szCs w:val="32"/>
          <w:lang w:val="en-US" w:eastAsia="zh-CN"/>
        </w:rPr>
      </w:pPr>
      <w:r>
        <w:rPr>
          <w:rFonts w:hint="eastAsia" w:ascii="楷体_GB2312" w:hAnsi="楷体_GB2312" w:eastAsia="楷体_GB2312" w:cs="楷体_GB2312"/>
          <w:b/>
          <w:bCs w:val="0"/>
          <w:sz w:val="32"/>
          <w:szCs w:val="32"/>
          <w:lang w:val="en-US" w:eastAsia="zh-CN"/>
        </w:rPr>
        <w:t>（二）</w:t>
      </w:r>
      <w:r>
        <w:rPr>
          <w:rFonts w:hint="eastAsia" w:ascii="仿宋" w:hAnsi="仿宋" w:eastAsia="仿宋" w:cs="仿宋"/>
          <w:b/>
          <w:bCs w:val="0"/>
          <w:sz w:val="32"/>
          <w:szCs w:val="32"/>
          <w:lang w:val="en-US" w:eastAsia="zh-CN"/>
        </w:rPr>
        <w:t>认真贯彻落实法律法规，全力维护全县退役军人合法权益</w:t>
      </w:r>
      <w:r>
        <w:rPr>
          <w:rFonts w:hint="eastAsia" w:ascii="仿宋" w:hAnsi="仿宋" w:eastAsia="仿宋" w:cs="仿宋"/>
          <w:b w:val="0"/>
          <w:bCs/>
          <w:sz w:val="32"/>
          <w:szCs w:val="32"/>
          <w:lang w:val="en-US" w:eastAsia="zh-CN"/>
        </w:rPr>
        <w:t>。一是实现对全县退役军人走访慰问全覆盖。二是按时足额下拨各项优抚资金。三是落实就业安置政策。四组织2024年度转业士官及自主就业退役士兵在长治唯美诺创业园参加适应性培训，参加培训率达100%；发放 2023年自主就业退役士兵一次性经济补助金；四是做好退役军人困难援助;五是做实做细信访维稳工作。以“三零”单位创建为抓手，对重点人员、重点人群进行信访稳定苗头隐患排查并及时迅速处理信访问题，截至目前未发生到市、赴省、进京信访事件;六是全面推进退役军人和其他优抚对象建档立卡和优待证发放工作。</w:t>
      </w:r>
    </w:p>
    <w:p w14:paraId="3411B018">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 w:hAnsi="仿宋" w:eastAsia="仿宋" w:cs="仿宋"/>
          <w:b w:val="0"/>
          <w:bCs/>
          <w:sz w:val="32"/>
          <w:szCs w:val="32"/>
          <w:lang w:val="en-US" w:eastAsia="zh-CN"/>
        </w:rPr>
      </w:pPr>
      <w:r>
        <w:rPr>
          <w:rFonts w:hint="eastAsia" w:ascii="楷体_GB2312" w:hAnsi="楷体_GB2312" w:eastAsia="楷体_GB2312" w:cs="楷体_GB2312"/>
          <w:b/>
          <w:bCs w:val="0"/>
          <w:sz w:val="32"/>
          <w:szCs w:val="32"/>
          <w:lang w:val="en-US" w:eastAsia="zh-CN"/>
        </w:rPr>
        <w:t>（三）做好退役军人就业创业工作。一是</w:t>
      </w:r>
      <w:r>
        <w:rPr>
          <w:rFonts w:hint="eastAsia" w:ascii="仿宋" w:hAnsi="仿宋" w:eastAsia="仿宋" w:cs="仿宋"/>
          <w:b w:val="0"/>
          <w:bCs/>
          <w:sz w:val="32"/>
          <w:szCs w:val="32"/>
          <w:lang w:val="en-US" w:eastAsia="zh-CN"/>
        </w:rPr>
        <w:t>县退役军人事务局依托乡村两极服务体系，及时掌握退役军人就业创业需求，按年龄段分别建立退役军人就业台账，实时掌握全县退役军人就业创业动态；二是定期或不定期通过乡村两极服务站在退役军人微信群发布各种招聘信息；三是依托企业服务站对企业内退军人建档立卡工作，实行一人一档，建立退役军人基本信息台账，常年接收吸纳退役军人到企业就业，积极推动优化营商环境工作。</w:t>
      </w:r>
    </w:p>
    <w:p w14:paraId="464F574F">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二、党政主要负责人履行推进法治建设第一责任人职责，加强法治政府建设的有关情况</w:t>
      </w:r>
    </w:p>
    <w:p w14:paraId="5C4DA266">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在</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委、</w:t>
      </w:r>
      <w:r>
        <w:rPr>
          <w:rFonts w:hint="eastAsia" w:ascii="仿宋_GB2312" w:hAnsi="仿宋_GB2312" w:cs="仿宋_GB2312"/>
          <w:color w:val="040404"/>
          <w:sz w:val="32"/>
          <w:szCs w:val="32"/>
          <w:lang w:eastAsia="zh-CN"/>
        </w:rPr>
        <w:t>县</w:t>
      </w:r>
      <w:r>
        <w:rPr>
          <w:rFonts w:hint="eastAsia" w:ascii="仿宋_GB2312" w:hAnsi="仿宋_GB2312" w:eastAsia="仿宋_GB2312" w:cs="仿宋_GB2312"/>
          <w:color w:val="040404"/>
          <w:sz w:val="32"/>
          <w:szCs w:val="32"/>
        </w:rPr>
        <w:t>政府的正确领导下，</w:t>
      </w:r>
      <w:r>
        <w:rPr>
          <w:rFonts w:hint="eastAsia" w:ascii="仿宋_GB2312" w:hAnsi="仿宋_GB2312" w:cs="仿宋_GB2312"/>
          <w:color w:val="040404"/>
          <w:sz w:val="32"/>
          <w:szCs w:val="32"/>
          <w:lang w:eastAsia="zh-CN"/>
        </w:rPr>
        <w:t>局</w:t>
      </w:r>
      <w:r>
        <w:rPr>
          <w:rFonts w:hint="eastAsia" w:ascii="仿宋_GB2312" w:hAnsi="仿宋_GB2312" w:eastAsia="仿宋_GB2312" w:cs="仿宋_GB2312"/>
          <w:color w:val="040404"/>
          <w:sz w:val="32"/>
          <w:szCs w:val="32"/>
        </w:rPr>
        <w:t>班子成员和全体干部职工的积极配合和大力支持下</w:t>
      </w:r>
      <w:r>
        <w:rPr>
          <w:rFonts w:hint="eastAsia" w:ascii="仿宋_GB2312" w:hAnsi="仿宋_GB2312" w:cs="仿宋_GB2312"/>
          <w:color w:val="040404"/>
          <w:sz w:val="32"/>
          <w:szCs w:val="32"/>
          <w:lang w:eastAsia="zh-CN"/>
        </w:rPr>
        <w:t>，单位主要负责人</w:t>
      </w:r>
      <w:r>
        <w:rPr>
          <w:rFonts w:hint="eastAsia" w:ascii="仿宋_GB2312" w:hAnsi="仿宋_GB2312" w:eastAsia="仿宋_GB2312" w:cs="仿宋_GB2312"/>
          <w:color w:val="040404"/>
          <w:sz w:val="32"/>
          <w:szCs w:val="32"/>
        </w:rPr>
        <w:t>切实履行推进法治建设第一责任人职责，充分发挥示范引领、自觉表率作用。</w:t>
      </w:r>
    </w:p>
    <w:p w14:paraId="46C39A44">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_GB2312" w:hAnsi="仿宋_GB2312" w:eastAsia="仿宋_GB2312" w:cs="仿宋_GB2312"/>
          <w:color w:val="040404"/>
          <w:sz w:val="32"/>
          <w:szCs w:val="32"/>
        </w:rPr>
      </w:pPr>
      <w:r>
        <w:rPr>
          <w:rFonts w:hint="eastAsia" w:ascii="仿宋_GB2312" w:hAnsi="仿宋_GB2312" w:cs="仿宋_GB2312"/>
          <w:color w:val="040404"/>
          <w:sz w:val="32"/>
          <w:szCs w:val="32"/>
          <w:lang w:eastAsia="zh-CN"/>
        </w:rPr>
        <w:t>一是</w:t>
      </w:r>
      <w:r>
        <w:rPr>
          <w:rFonts w:hint="eastAsia" w:ascii="仿宋_GB2312" w:hAnsi="仿宋_GB2312" w:eastAsia="仿宋_GB2312" w:cs="仿宋_GB2312"/>
          <w:color w:val="040404"/>
          <w:sz w:val="32"/>
          <w:szCs w:val="32"/>
        </w:rPr>
        <w:t>始终高度重视全局法治建设工作，将建设法治政府摆在工作全局的重要位置，定期听取</w:t>
      </w:r>
      <w:r>
        <w:rPr>
          <w:rFonts w:hint="eastAsia" w:ascii="仿宋_GB2312" w:hAnsi="仿宋_GB2312" w:cs="仿宋_GB2312"/>
          <w:color w:val="040404"/>
          <w:sz w:val="32"/>
          <w:szCs w:val="32"/>
          <w:lang w:eastAsia="zh-CN"/>
        </w:rPr>
        <w:t>相关</w:t>
      </w:r>
      <w:r>
        <w:rPr>
          <w:rFonts w:hint="eastAsia" w:ascii="仿宋_GB2312" w:hAnsi="仿宋_GB2312" w:eastAsia="仿宋_GB2312" w:cs="仿宋_GB2312"/>
          <w:color w:val="040404"/>
          <w:sz w:val="32"/>
          <w:szCs w:val="32"/>
        </w:rPr>
        <w:t>工作情况汇报，及时研判、解决有关重大问题，统筹协调、细化内部任务分工，在全局构建起法治建设工作“一把手”亲自抓、分管领导具体抓、业务</w:t>
      </w:r>
      <w:r>
        <w:rPr>
          <w:rFonts w:hint="eastAsia" w:ascii="仿宋_GB2312" w:hAnsi="仿宋_GB2312" w:cs="仿宋_GB2312"/>
          <w:color w:val="040404"/>
          <w:sz w:val="32"/>
          <w:szCs w:val="32"/>
          <w:lang w:eastAsia="zh-CN"/>
        </w:rPr>
        <w:t>股</w:t>
      </w:r>
      <w:r>
        <w:rPr>
          <w:rFonts w:hint="eastAsia" w:ascii="仿宋_GB2312" w:hAnsi="仿宋_GB2312" w:eastAsia="仿宋_GB2312" w:cs="仿宋_GB2312"/>
          <w:color w:val="040404"/>
          <w:sz w:val="32"/>
          <w:szCs w:val="32"/>
        </w:rPr>
        <w:t>室协同抓，全局干部职工积极参与的良好格局。</w:t>
      </w:r>
    </w:p>
    <w:p w14:paraId="170478C7">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ascii="仿宋_GB2312" w:hAnsi="仿宋_GB2312" w:eastAsia="仿宋_GB2312" w:cs="仿宋_GB2312"/>
          <w:color w:val="040404"/>
          <w:sz w:val="32"/>
          <w:szCs w:val="32"/>
        </w:rPr>
      </w:pPr>
      <w:r>
        <w:rPr>
          <w:rFonts w:hint="eastAsia" w:ascii="仿宋_GB2312" w:hAnsi="仿宋_GB2312" w:eastAsia="仿宋_GB2312" w:cs="仿宋_GB2312"/>
          <w:color w:val="040404"/>
          <w:sz w:val="32"/>
          <w:szCs w:val="32"/>
        </w:rPr>
        <w:t>二是坚持党对法治建设的绝对领导，落实全面从严治党。在统筹全局工作方面，坚持把党的建设与法治建设有机结合，确保一切工作都在党的指导下有章有序进行。通过组织党内法规制度学习，严肃工作纪律，规范工作程序，切实挑起党风廉政建设主体责任的担子，压实自身责任，推进工作落实，带头提高党内法规制度执行力。</w:t>
      </w:r>
    </w:p>
    <w:p w14:paraId="70394810">
      <w:pPr>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Fonts w:hint="eastAsia"/>
          <w:lang w:eastAsia="zh-CN"/>
        </w:rPr>
      </w:pPr>
      <w:r>
        <w:rPr>
          <w:rFonts w:hint="eastAsia" w:ascii="仿宋_GB2312" w:hAnsi="仿宋_GB2312" w:eastAsia="仿宋_GB2312" w:cs="仿宋_GB2312"/>
          <w:color w:val="040404"/>
          <w:sz w:val="32"/>
          <w:szCs w:val="32"/>
        </w:rPr>
        <w:t>三是坚持做尊法模范，带头尊崇法治、敬畏法律；坚持做学法模范，带头了解法律、掌握法律；坚持做守法模范，带头遵纪守法、捍卫法治；坚持做用法的模范，带头厉行法治、依法办事。督促引导全局干部职工不断提高运用法治思维和法治方式深化改革、推动发展、化解矛盾、维护社会稳定的能力，不断提高全局干部职工科学决策、民主决策、依法决策和依法管理的能力和水平，充分发挥在法治建设中的引领示范作用</w:t>
      </w:r>
      <w:r>
        <w:rPr>
          <w:rFonts w:hint="eastAsia" w:ascii="仿宋_GB2312" w:hAnsi="仿宋_GB2312" w:cs="仿宋_GB2312"/>
          <w:color w:val="040404"/>
          <w:sz w:val="32"/>
          <w:szCs w:val="32"/>
          <w:lang w:eastAsia="zh-CN"/>
        </w:rPr>
        <w:t>，</w:t>
      </w:r>
      <w:r>
        <w:rPr>
          <w:rFonts w:hint="eastAsia" w:ascii="仿宋_GB2312" w:hAnsi="仿宋_GB2312" w:eastAsia="仿宋_GB2312" w:cs="仿宋_GB2312"/>
          <w:color w:val="040404"/>
          <w:sz w:val="32"/>
          <w:szCs w:val="32"/>
        </w:rPr>
        <w:t>自觉为全局</w:t>
      </w:r>
      <w:r>
        <w:rPr>
          <w:rFonts w:hint="eastAsia" w:ascii="仿宋_GB2312" w:hAnsi="仿宋_GB2312" w:cs="仿宋_GB2312"/>
          <w:color w:val="040404"/>
          <w:sz w:val="32"/>
          <w:szCs w:val="32"/>
          <w:lang w:eastAsia="zh-CN"/>
        </w:rPr>
        <w:t>做</w:t>
      </w:r>
      <w:r>
        <w:rPr>
          <w:rFonts w:hint="eastAsia" w:ascii="仿宋_GB2312" w:hAnsi="仿宋_GB2312" w:eastAsia="仿宋_GB2312" w:cs="仿宋_GB2312"/>
          <w:color w:val="040404"/>
          <w:sz w:val="32"/>
          <w:szCs w:val="32"/>
        </w:rPr>
        <w:t>良好表率。</w:t>
      </w:r>
    </w:p>
    <w:p w14:paraId="41BA941E">
      <w:pPr>
        <w:pageBreakBefore w:val="0"/>
        <w:kinsoku/>
        <w:wordWrap/>
        <w:overflowPunct/>
        <w:topLinePunct w:val="0"/>
        <w:autoSpaceDE/>
        <w:autoSpaceDN/>
        <w:bidi w:val="0"/>
        <w:adjustRightInd/>
        <w:snapToGrid/>
        <w:spacing w:line="240" w:lineRule="auto"/>
        <w:ind w:firstLine="644"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、推进法治政府建设存在的不足和原因</w:t>
      </w:r>
    </w:p>
    <w:p w14:paraId="6F9B7563">
      <w:pPr>
        <w:pageBreakBefore w:val="0"/>
        <w:kinsoku/>
        <w:wordWrap/>
        <w:overflowPunct/>
        <w:topLinePunct w:val="0"/>
        <w:autoSpaceDE/>
        <w:autoSpaceDN/>
        <w:bidi w:val="0"/>
        <w:adjustRightInd/>
        <w:snapToGrid/>
        <w:spacing w:line="240" w:lineRule="auto"/>
        <w:ind w:firstLine="644"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本年度推进法治政府建设工作虽取得了一定成效，</w:t>
      </w:r>
      <w:r>
        <w:rPr>
          <w:rFonts w:hint="eastAsia" w:ascii="仿宋_GB2312" w:hAnsi="仿宋_GB2312" w:eastAsia="仿宋_GB2312" w:cs="仿宋_GB2312"/>
          <w:b w:val="0"/>
          <w:bCs/>
          <w:sz w:val="32"/>
          <w:szCs w:val="32"/>
          <w:lang w:eastAsia="zh-CN"/>
        </w:rPr>
        <w:t>但</w:t>
      </w:r>
      <w:r>
        <w:rPr>
          <w:rFonts w:hint="eastAsia" w:ascii="仿宋_GB2312" w:hAnsi="仿宋_GB2312" w:eastAsia="仿宋_GB2312" w:cs="仿宋_GB2312"/>
          <w:b w:val="0"/>
          <w:bCs/>
          <w:sz w:val="32"/>
          <w:szCs w:val="32"/>
        </w:rPr>
        <w:t>在推进法治化、规范化建设中，还存在一定的困难和不足。主要表现在：</w:t>
      </w:r>
      <w:r>
        <w:rPr>
          <w:rFonts w:hint="eastAsia" w:ascii="仿宋_GB2312" w:hAnsi="仿宋_GB2312" w:cs="仿宋_GB2312"/>
          <w:b w:val="0"/>
          <w:bCs/>
          <w:sz w:val="32"/>
          <w:szCs w:val="32"/>
          <w:lang w:eastAsia="zh-CN"/>
        </w:rPr>
        <w:t>一是</w:t>
      </w:r>
      <w:r>
        <w:rPr>
          <w:rFonts w:hint="eastAsia" w:ascii="仿宋_GB2312" w:hAnsi="仿宋_GB2312" w:eastAsia="仿宋_GB2312" w:cs="仿宋_GB2312"/>
          <w:b w:val="0"/>
          <w:bCs/>
          <w:sz w:val="32"/>
          <w:szCs w:val="32"/>
        </w:rPr>
        <w:t>工作人员基本熟悉业务中的政策法律知识，然而对新颁布的《</w:t>
      </w:r>
      <w:r>
        <w:rPr>
          <w:rFonts w:hint="eastAsia" w:ascii="仿宋_GB2312" w:hAnsi="仿宋_GB2312" w:cs="仿宋_GB2312"/>
          <w:b w:val="0"/>
          <w:bCs/>
          <w:sz w:val="32"/>
          <w:szCs w:val="32"/>
          <w:lang w:eastAsia="zh-CN"/>
        </w:rPr>
        <w:t>退役军人安置条例</w:t>
      </w:r>
      <w:r>
        <w:rPr>
          <w:rFonts w:hint="eastAsia" w:ascii="仿宋_GB2312" w:hAnsi="仿宋_GB2312" w:eastAsia="仿宋_GB2312" w:cs="仿宋_GB2312"/>
          <w:b w:val="0"/>
          <w:bCs/>
          <w:sz w:val="32"/>
          <w:szCs w:val="32"/>
        </w:rPr>
        <w:t>》还缺乏足够的了解和掌握</w:t>
      </w:r>
      <w:r>
        <w:rPr>
          <w:rFonts w:hint="eastAsia" w:ascii="仿宋_GB2312" w:hAnsi="仿宋_GB2312" w:cs="仿宋_GB2312"/>
          <w:b w:val="0"/>
          <w:bCs/>
          <w:sz w:val="32"/>
          <w:szCs w:val="32"/>
          <w:lang w:eastAsia="zh-CN"/>
        </w:rPr>
        <w:t>；二是</w:t>
      </w:r>
      <w:r>
        <w:rPr>
          <w:rFonts w:hint="eastAsia" w:ascii="仿宋_GB2312" w:hAnsi="仿宋_GB2312" w:eastAsia="仿宋_GB2312" w:cs="仿宋_GB2312"/>
          <w:b w:val="0"/>
          <w:bCs/>
          <w:sz w:val="32"/>
          <w:szCs w:val="32"/>
        </w:rPr>
        <w:t>受多种原因限制，单位缺乏专业的法律人才，一定程度上影响了单位依法行政工作。</w:t>
      </w:r>
    </w:p>
    <w:p w14:paraId="4B7C516F">
      <w:pPr>
        <w:pageBreakBefore w:val="0"/>
        <w:numPr>
          <w:ilvl w:val="0"/>
          <w:numId w:val="0"/>
        </w:numPr>
        <w:kinsoku/>
        <w:wordWrap/>
        <w:overflowPunct/>
        <w:topLinePunct w:val="0"/>
        <w:autoSpaceDE/>
        <w:autoSpaceDN/>
        <w:bidi w:val="0"/>
        <w:adjustRightInd/>
        <w:snapToGrid/>
        <w:spacing w:line="240" w:lineRule="auto"/>
        <w:ind w:firstLine="644"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四、202</w:t>
      </w:r>
      <w:r>
        <w:rPr>
          <w:rFonts w:hint="eastAsia" w:ascii="黑体" w:hAnsi="黑体" w:eastAsia="黑体" w:cs="黑体"/>
          <w:b w:val="0"/>
          <w:bCs/>
          <w:sz w:val="32"/>
          <w:szCs w:val="32"/>
          <w:lang w:val="en-US" w:eastAsia="zh-CN"/>
        </w:rPr>
        <w:t>5</w:t>
      </w:r>
      <w:r>
        <w:rPr>
          <w:rFonts w:hint="eastAsia" w:ascii="黑体" w:hAnsi="黑体" w:eastAsia="黑体" w:cs="黑体"/>
          <w:b w:val="0"/>
          <w:bCs/>
          <w:sz w:val="32"/>
          <w:szCs w:val="32"/>
        </w:rPr>
        <w:t>年度推进法治政府建设主要安排</w:t>
      </w:r>
    </w:p>
    <w:p w14:paraId="65752FA0">
      <w:pPr>
        <w:pageBreakBefore w:val="0"/>
        <w:numPr>
          <w:ilvl w:val="0"/>
          <w:numId w:val="1"/>
        </w:numPr>
        <w:kinsoku/>
        <w:wordWrap/>
        <w:overflowPunct/>
        <w:topLinePunct w:val="0"/>
        <w:autoSpaceDE/>
        <w:autoSpaceDN/>
        <w:bidi w:val="0"/>
        <w:adjustRightInd/>
        <w:snapToGrid/>
        <w:spacing w:line="240" w:lineRule="auto"/>
        <w:ind w:firstLine="644"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加强依法行政能力建设</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加强政策法规的学习宣传，提升政策法规执行力，不断提高机关人员运用法治思维和法治方式深化改革、推动发展、化解</w:t>
      </w:r>
      <w:r>
        <w:rPr>
          <w:rFonts w:hint="eastAsia" w:ascii="仿宋" w:hAnsi="仿宋" w:eastAsia="仿宋" w:cs="仿宋"/>
          <w:b w:val="0"/>
          <w:bCs w:val="0"/>
          <w:sz w:val="32"/>
          <w:szCs w:val="32"/>
          <w:lang w:eastAsia="zh-CN"/>
        </w:rPr>
        <w:t>社会</w:t>
      </w:r>
      <w:r>
        <w:rPr>
          <w:rFonts w:hint="eastAsia" w:ascii="仿宋" w:hAnsi="仿宋" w:eastAsia="仿宋" w:cs="仿宋"/>
          <w:b w:val="0"/>
          <w:bCs w:val="0"/>
          <w:sz w:val="32"/>
          <w:szCs w:val="32"/>
        </w:rPr>
        <w:t>矛盾、维护稳定的意识和能力，依法全面履行职能，严格规范进行管理，自觉接受各方面的监督，提升依法行政水平。　</w:t>
      </w:r>
    </w:p>
    <w:p w14:paraId="3A388491">
      <w:pPr>
        <w:pageBreakBefore w:val="0"/>
        <w:numPr>
          <w:ilvl w:val="0"/>
          <w:numId w:val="1"/>
        </w:numPr>
        <w:kinsoku/>
        <w:wordWrap/>
        <w:overflowPunct/>
        <w:topLinePunct w:val="0"/>
        <w:autoSpaceDE/>
        <w:autoSpaceDN/>
        <w:bidi w:val="0"/>
        <w:adjustRightInd/>
        <w:snapToGrid/>
        <w:spacing w:line="240" w:lineRule="auto"/>
        <w:ind w:left="0" w:leftChars="0" w:firstLine="644"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加强法律法规宣传服务工作</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rPr>
        <w:t>针对领导干部、一般工作人员、社会群众等不同群体，采用不同形式开展退役军人政策法规宣传教育。更新普法工作理念，从“灌输式”教育向“服务式”教育转变，落实“谁执法谁普法”责任制，在退役军人服务工作推进过程中，在人民群众关心的热点难点问题解决过程中，宣传退役军人法规政策，营造学法用法守法的良好社会氛围。</w:t>
      </w:r>
    </w:p>
    <w:p w14:paraId="4CCB354B">
      <w:pPr>
        <w:pStyle w:val="2"/>
        <w:keepNext/>
        <w:keepLines/>
        <w:pageBreakBefore w:val="0"/>
        <w:widowControl w:val="0"/>
        <w:kinsoku/>
        <w:wordWrap/>
        <w:overflowPunct/>
        <w:topLinePunct w:val="0"/>
        <w:autoSpaceDE/>
        <w:autoSpaceDN/>
        <w:bidi w:val="0"/>
        <w:adjustRightInd/>
        <w:snapToGrid/>
        <w:spacing w:before="0" w:after="0" w:line="600" w:lineRule="exact"/>
        <w:ind w:firstLine="644"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w:t>
      </w:r>
      <w:r>
        <w:rPr>
          <w:rFonts w:hint="eastAsia" w:ascii="仿宋" w:hAnsi="仿宋" w:eastAsia="仿宋" w:cs="仿宋"/>
          <w:b/>
          <w:bCs/>
          <w:sz w:val="32"/>
          <w:szCs w:val="32"/>
        </w:rPr>
        <w:t>进一步健全纠纷化解机制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强化法律在维护退役军人权益、化解矛盾中的权威，增强广大退役军人和其他优抚对象的法治观念。畅通群众利益表达、权利救济的渠道，完善信访、调解、裁决、行政复议、行政诉讼等相互衔接的纠纷处理制度，形成“办事依法、遇事找法、解决问题用法”的良性机制，促进信访工作法治化。</w:t>
      </w:r>
    </w:p>
    <w:p w14:paraId="6414A2AC">
      <w:pPr>
        <w:rPr>
          <w:rFonts w:hint="eastAsia" w:ascii="仿宋" w:hAnsi="仿宋" w:eastAsia="仿宋" w:cs="仿宋"/>
          <w:b w:val="0"/>
          <w:bCs w:val="0"/>
          <w:sz w:val="32"/>
          <w:szCs w:val="32"/>
        </w:rPr>
      </w:pPr>
    </w:p>
    <w:p w14:paraId="7E813E91">
      <w:pPr>
        <w:pStyle w:val="2"/>
        <w:rPr>
          <w:rFonts w:hint="eastAsia"/>
        </w:rPr>
      </w:pPr>
    </w:p>
    <w:p w14:paraId="66AEC94B">
      <w:pPr>
        <w:spacing w:line="600" w:lineRule="exact"/>
        <w:ind w:firstLine="4830" w:firstLineChars="1500"/>
        <w:rPr>
          <w:rFonts w:hint="eastAsia"/>
        </w:rPr>
      </w:pPr>
      <w:r>
        <w:rPr>
          <w:rFonts w:hint="eastAsia"/>
        </w:rPr>
        <w:t>沁源县</w:t>
      </w:r>
      <w:r>
        <w:rPr>
          <w:rFonts w:hint="eastAsia"/>
          <w:lang w:eastAsia="zh-CN"/>
        </w:rPr>
        <w:t>退役军人事务</w:t>
      </w:r>
      <w:r>
        <w:rPr>
          <w:rFonts w:hint="eastAsia"/>
        </w:rPr>
        <w:t>局</w:t>
      </w:r>
    </w:p>
    <w:p w14:paraId="13636DBF">
      <w:pPr>
        <w:spacing w:line="600" w:lineRule="exact"/>
        <w:ind w:firstLine="5466" w:firstLineChars="1698"/>
      </w:pPr>
      <w:r>
        <w:rPr>
          <w:rFonts w:hint="eastAsia"/>
        </w:rPr>
        <w:t>202</w:t>
      </w:r>
      <w:r>
        <w:rPr>
          <w:rFonts w:hint="eastAsia"/>
          <w:lang w:val="en-US" w:eastAsia="zh-CN"/>
        </w:rPr>
        <w:t>5</w:t>
      </w:r>
      <w:r>
        <w:rPr>
          <w:rFonts w:hint="eastAsia"/>
        </w:rPr>
        <w:t>年</w:t>
      </w:r>
      <w:r>
        <w:rPr>
          <w:rFonts w:hint="eastAsia"/>
          <w:lang w:val="en-US" w:eastAsia="zh-CN"/>
        </w:rPr>
        <w:t>2</w:t>
      </w:r>
      <w:r>
        <w:rPr>
          <w:rFonts w:hint="eastAsia"/>
        </w:rPr>
        <w:t>月</w:t>
      </w:r>
      <w:r>
        <w:rPr>
          <w:rFonts w:hint="eastAsia"/>
          <w:lang w:val="en-US" w:eastAsia="zh-CN"/>
        </w:rPr>
        <w:t>28</w:t>
      </w:r>
      <w:r>
        <w:rPr>
          <w:rFonts w:hint="eastAsia"/>
        </w:rPr>
        <w:t>日</w:t>
      </w:r>
    </w:p>
    <w:p w14:paraId="4C7DB239"/>
    <w:sectPr>
      <w:headerReference r:id="rId5" w:type="first"/>
      <w:footerReference r:id="rId8" w:type="first"/>
      <w:headerReference r:id="rId3" w:type="default"/>
      <w:footerReference r:id="rId6" w:type="default"/>
      <w:headerReference r:id="rId4" w:type="even"/>
      <w:footerReference r:id="rId7" w:type="even"/>
      <w:pgSz w:w="11906" w:h="16838"/>
      <w:pgMar w:top="2211" w:right="1758" w:bottom="1871" w:left="1758" w:header="851" w:footer="1474" w:gutter="0"/>
      <w:cols w:space="720" w:num="1"/>
      <w:docGrid w:type="linesAndChars" w:linePitch="579" w:charSpace="5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93458">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4817D50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74F9">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F409B16">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B7B3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18F8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CBB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EDB8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1E738"/>
    <w:multiLevelType w:val="singleLevel"/>
    <w:tmpl w:val="A401E7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WUzNTdhMTMwNjliOTBmMTFiNDUzMGI5NzZhOWQifQ=="/>
  </w:docVars>
  <w:rsids>
    <w:rsidRoot w:val="462C32AC"/>
    <w:rsid w:val="0116641A"/>
    <w:rsid w:val="08E104C7"/>
    <w:rsid w:val="11215B5C"/>
    <w:rsid w:val="14E21EC5"/>
    <w:rsid w:val="15AC59B8"/>
    <w:rsid w:val="16F2389F"/>
    <w:rsid w:val="17C11E5F"/>
    <w:rsid w:val="1CA47DEB"/>
    <w:rsid w:val="24D82326"/>
    <w:rsid w:val="2692453F"/>
    <w:rsid w:val="2D650C3E"/>
    <w:rsid w:val="407A359A"/>
    <w:rsid w:val="462C32AC"/>
    <w:rsid w:val="51FE2F14"/>
    <w:rsid w:val="5D687FB2"/>
    <w:rsid w:val="703E5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0"/>
    <w:pPr>
      <w:keepNext/>
      <w:keepLines/>
      <w:spacing w:before="260" w:after="260" w:line="416" w:lineRule="auto"/>
      <w:outlineLvl w:val="1"/>
    </w:pPr>
    <w:rPr>
      <w:rFonts w:ascii="Times New Roman" w:hAnsi="Times New Roman" w:eastAsia="宋体"/>
      <w:b/>
      <w:bCs/>
      <w:kern w:val="0"/>
      <w:sz w:val="28"/>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2761</Words>
  <Characters>2792</Characters>
  <Lines>0</Lines>
  <Paragraphs>0</Paragraphs>
  <TotalTime>62</TotalTime>
  <ScaleCrop>false</ScaleCrop>
  <LinksUpToDate>false</LinksUpToDate>
  <CharactersWithSpaces>2794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2023-01-13T01:50:00Z</dcterms:created>
  <dc:creator>沉渔沫沫</dc:creator>
  <cp:lastModifiedBy>adengna</cp:lastModifiedBy>
  <cp:lastPrinted>2023-02-10T07:05:00Z</cp:lastPrinted>
  <dcterms:modified xsi:type="dcterms:W3CDTF">2025-04-15T02:22:53Z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E0D0039A457042AC8AC15B7FDE234983_13</vt:lpwstr>
  </property>
  <property fmtid="{D5CDD505-2E9C-101B-9397-08002B2CF9AE}" pid="4" name="KSOTemplateDocerSaveRecord">
    <vt:lpwstr>eyJoZGlkIjoiM2RlMWUzNTdhMTMwNjliOTBmMTFiNDUzMGI5NzZhOWQiLCJ1c2VySWQiOiI0OTgxMzI0NTQifQ==</vt:lpwstr>
  </property>
</Properties>
</file>