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沁源县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2023年度“三公经费”执行情况说明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我县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年度“三公经费”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年初预算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753</w:t>
      </w:r>
      <w:r>
        <w:rPr>
          <w:rFonts w:hint="eastAsia" w:ascii="仿宋" w:hAnsi="仿宋" w:eastAsia="仿宋"/>
          <w:color w:val="auto"/>
          <w:sz w:val="32"/>
          <w:szCs w:val="32"/>
        </w:rPr>
        <w:t>万元，根据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年度部门决算情况，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年度全县“三公经费”支出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727</w:t>
      </w:r>
      <w:r>
        <w:rPr>
          <w:rFonts w:hint="eastAsia" w:ascii="仿宋" w:hAnsi="仿宋" w:eastAsia="仿宋"/>
          <w:color w:val="auto"/>
          <w:sz w:val="32"/>
          <w:szCs w:val="32"/>
        </w:rPr>
        <w:t>万元（其中：公务用车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546</w:t>
      </w:r>
      <w:r>
        <w:rPr>
          <w:rFonts w:hint="eastAsia" w:ascii="仿宋" w:hAnsi="仿宋" w:eastAsia="仿宋"/>
          <w:color w:val="auto"/>
          <w:sz w:val="32"/>
          <w:szCs w:val="32"/>
        </w:rPr>
        <w:t>万元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/>
          <w:color w:val="auto"/>
          <w:sz w:val="32"/>
          <w:szCs w:val="32"/>
        </w:rPr>
        <w:t>公务接待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181</w:t>
      </w:r>
      <w:r>
        <w:rPr>
          <w:rFonts w:hint="eastAsia" w:ascii="仿宋" w:hAnsi="仿宋" w:eastAsia="仿宋"/>
          <w:color w:val="auto"/>
          <w:sz w:val="32"/>
          <w:szCs w:val="32"/>
        </w:rPr>
        <w:t>万元），比预算节约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color w:val="auto"/>
          <w:sz w:val="32"/>
          <w:szCs w:val="32"/>
        </w:rPr>
        <w:t>万元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，比上年同期多支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25万元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公务用车支出中，公务用车购置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268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比年初预算数减少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32万元，</w:t>
      </w:r>
      <w:r>
        <w:rPr>
          <w:rFonts w:hint="eastAsia" w:ascii="仿宋" w:hAnsi="仿宋" w:eastAsia="仿宋"/>
          <w:color w:val="auto"/>
          <w:sz w:val="32"/>
          <w:szCs w:val="32"/>
        </w:rPr>
        <w:t>公务用车购置数量为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  <w:szCs w:val="32"/>
        </w:rPr>
        <w:t>辆，为机关事务管理局购置。公务接待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181</w:t>
      </w:r>
      <w:r>
        <w:rPr>
          <w:rFonts w:hint="eastAsia" w:ascii="仿宋" w:hAnsi="仿宋" w:eastAsia="仿宋"/>
          <w:color w:val="auto"/>
          <w:sz w:val="32"/>
          <w:szCs w:val="32"/>
        </w:rPr>
        <w:t>万元，比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年初</w:t>
      </w:r>
      <w:r>
        <w:rPr>
          <w:rFonts w:hint="eastAsia" w:ascii="仿宋" w:hAnsi="仿宋" w:eastAsia="仿宋"/>
          <w:color w:val="auto"/>
          <w:sz w:val="32"/>
          <w:szCs w:val="32"/>
        </w:rPr>
        <w:t>预算数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37</w:t>
      </w:r>
      <w:r>
        <w:rPr>
          <w:rFonts w:hint="eastAsia" w:ascii="仿宋" w:hAnsi="仿宋" w:eastAsia="仿宋"/>
          <w:color w:val="auto"/>
          <w:sz w:val="32"/>
          <w:szCs w:val="32"/>
        </w:rPr>
        <w:t>万元，接待批次为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280</w:t>
      </w:r>
      <w:r>
        <w:rPr>
          <w:rFonts w:hint="eastAsia" w:ascii="仿宋" w:hAnsi="仿宋" w:eastAsia="仿宋"/>
          <w:color w:val="auto"/>
          <w:sz w:val="32"/>
          <w:szCs w:val="32"/>
        </w:rPr>
        <w:t>批，接待人次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3524</w:t>
      </w:r>
      <w:r>
        <w:rPr>
          <w:rFonts w:hint="eastAsia" w:ascii="仿宋" w:hAnsi="仿宋" w:eastAsia="仿宋"/>
          <w:color w:val="auto"/>
          <w:sz w:val="32"/>
          <w:szCs w:val="32"/>
        </w:rPr>
        <w:t>人。</w:t>
      </w:r>
    </w:p>
    <w:p>
      <w:pPr>
        <w:ind w:firstLine="720" w:firstLineChars="200"/>
        <w:jc w:val="left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7580B"/>
    <w:rsid w:val="04AD6E07"/>
    <w:rsid w:val="4377580B"/>
    <w:rsid w:val="48CE5E28"/>
    <w:rsid w:val="4FBA00C0"/>
    <w:rsid w:val="56887A1D"/>
    <w:rsid w:val="63FE6F2D"/>
    <w:rsid w:val="78166C08"/>
    <w:rsid w:val="7AF7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2022-08-10T01:50:00Z</dcterms:created>
  <dc:creator>Administrator</dc:creator>
  <cp:lastModifiedBy>Administrator</cp:lastModifiedBy>
  <dcterms:modified xsi:type="dcterms:W3CDTF">2024-09-25T03:58:25Z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