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u w:val="single"/>
        </w:rPr>
      </w:pP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u w:val="none"/>
          <w:lang w:eastAsia="zh-CN"/>
        </w:rPr>
        <w:t>沁源县人民代表大会常务委员会</w:t>
      </w:r>
      <w:r>
        <w:rPr>
          <w:rFonts w:hint="eastAsia" w:ascii="仿宋_GB2312" w:hAnsi="仿宋_GB2312" w:eastAsia="仿宋_GB2312" w:cs="仿宋_GB2312"/>
          <w:b/>
          <w:bCs/>
          <w:sz w:val="52"/>
          <w:szCs w:val="52"/>
        </w:rPr>
        <w:t>202</w:t>
      </w:r>
      <w:r>
        <w:rPr>
          <w:rFonts w:hint="eastAsia" w:ascii="仿宋_GB2312" w:hAnsi="仿宋_GB2312" w:eastAsia="仿宋_GB2312" w:cs="仿宋_GB2312"/>
          <w:b/>
          <w:bCs/>
          <w:sz w:val="52"/>
          <w:szCs w:val="52"/>
          <w:lang w:val="en-US" w:eastAsia="zh-CN"/>
        </w:rPr>
        <w:t>1</w:t>
      </w:r>
      <w:r>
        <w:rPr>
          <w:rFonts w:hint="eastAsia" w:ascii="仿宋_GB2312" w:hAnsi="仿宋_GB2312" w:eastAsia="仿宋_GB2312" w:cs="仿宋_GB2312"/>
          <w:b/>
          <w:bCs/>
          <w:sz w:val="52"/>
          <w:szCs w:val="52"/>
        </w:rPr>
        <w:t>年度部门决算公开</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44"/>
          <w:szCs w:val="44"/>
        </w:rPr>
        <w:t>目  录</w:t>
      </w: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部门概况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部门机构设置及决算单位构成情况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三、2021</w:t>
      </w:r>
      <w:r>
        <w:rPr>
          <w:rFonts w:hint="eastAsia" w:ascii="仿宋_GB2312" w:hAnsi="仿宋_GB2312" w:eastAsia="仿宋_GB2312" w:cs="仿宋_GB2312"/>
          <w:b w:val="0"/>
          <w:bCs w:val="0"/>
          <w:sz w:val="32"/>
          <w:szCs w:val="32"/>
        </w:rPr>
        <w:t>年度主要工作完成情况</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 xml:space="preserve">第二部分 </w:t>
      </w:r>
      <w:r>
        <w:rPr>
          <w:rFonts w:hint="eastAsia" w:ascii="仿宋_GB2312" w:hAnsi="仿宋_GB2312" w:eastAsia="仿宋_GB2312" w:cs="仿宋_GB2312"/>
          <w:b/>
          <w:bCs/>
          <w:sz w:val="32"/>
          <w:szCs w:val="32"/>
          <w:lang w:eastAsia="zh-CN"/>
        </w:rPr>
        <w:t>2021</w:t>
      </w:r>
      <w:r>
        <w:rPr>
          <w:rFonts w:hint="eastAsia" w:ascii="仿宋_GB2312" w:hAnsi="仿宋_GB2312" w:eastAsia="仿宋_GB2312" w:cs="仿宋_GB2312"/>
          <w:b/>
          <w:bCs/>
          <w:sz w:val="32"/>
          <w:szCs w:val="32"/>
        </w:rPr>
        <w:t>年度部门决算表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收入支出决算总表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收入决算表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财政拨款收入支出决算总表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一般公共预算财政拨款支出决算表（一）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一般公共预算财政拨款支出决算表（二）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一般公共预算财政拨款“三公”经费支出决算表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rPr>
        <w:t>政府性基金预算财政拨款收入支出决算表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九、</w:t>
      </w:r>
      <w:r>
        <w:rPr>
          <w:rFonts w:hint="eastAsia" w:ascii="仿宋_GB2312" w:hAnsi="仿宋_GB2312" w:eastAsia="仿宋_GB2312" w:cs="仿宋_GB2312"/>
          <w:b w:val="0"/>
          <w:bCs w:val="0"/>
          <w:sz w:val="32"/>
          <w:szCs w:val="32"/>
        </w:rPr>
        <w:t>国有资本经营预算财政拨款支出决算表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十、</w:t>
      </w:r>
      <w:r>
        <w:rPr>
          <w:rFonts w:hint="eastAsia" w:ascii="仿宋_GB2312" w:hAnsi="仿宋_GB2312" w:eastAsia="仿宋_GB2312" w:cs="仿宋_GB2312"/>
          <w:b w:val="0"/>
          <w:bCs w:val="0"/>
          <w:sz w:val="32"/>
          <w:szCs w:val="32"/>
        </w:rPr>
        <w:t>部门决算公开相关信息统计表</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第三部分 </w:t>
      </w:r>
      <w:r>
        <w:rPr>
          <w:rFonts w:hint="eastAsia" w:ascii="仿宋_GB2312" w:hAnsi="仿宋_GB2312" w:eastAsia="仿宋_GB2312" w:cs="仿宋_GB2312"/>
          <w:b/>
          <w:bCs/>
          <w:sz w:val="32"/>
          <w:szCs w:val="32"/>
          <w:lang w:eastAsia="zh-CN"/>
        </w:rPr>
        <w:t>2021</w:t>
      </w:r>
      <w:r>
        <w:rPr>
          <w:rFonts w:hint="eastAsia" w:ascii="仿宋_GB2312" w:hAnsi="仿宋_GB2312" w:eastAsia="仿宋_GB2312" w:cs="仿宋_GB2312"/>
          <w:b/>
          <w:bCs/>
          <w:sz w:val="32"/>
          <w:szCs w:val="32"/>
        </w:rPr>
        <w:t>年度部门决算情况说明</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36"/>
          <w:szCs w:val="36"/>
        </w:rPr>
        <w:t>第一部分　部门概况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一、部门主要职能</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000000"/>
          <w:sz w:val="32"/>
          <w:szCs w:val="32"/>
          <w:lang w:val="en-US" w:eastAsia="zh-CN" w:bidi="ar-SA"/>
        </w:rPr>
        <w:t>在本行政区域内，保证宪法、法律、行政法规的遵守和执行，依据宪法和有关法律的规定行使监督职权；决定本行政区域内各项工作的重大事项，依法进行人事任免和撤职案的审议和决定，撤销本级人民政府的不适当的决定和命令；听取和审议县人民政府、监察委员会、人民法院和人民检察院专项工作报告；审查和批准决算，听取和审议国民经济和社会发展计划、预算的执行情况报告，听取和审议审计工作报告；依法组织对国家法律法规实施情况的检查；依法对规范性文件进行备案审查；依法组织对有关部门工作进行询问和质询，组织特定问题调查；承办县委交办的其他事项。</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二、部门机构设置及决算单位构成情况</w:t>
      </w:r>
    </w:p>
    <w:p>
      <w:pPr>
        <w:spacing w:line="550" w:lineRule="exact"/>
        <w:ind w:firstLine="640" w:firstLineChars="200"/>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 xml:space="preserve">1.沁源县人民代表大会常务委员会为正处级行政单位，位于沁源县沁河镇胜利路34号乙。行政设置有机关办公室、农村工作委员会、人事代表工作委员会、财政经济工作委员会、法制工作委员会、教科文卫工作委员会及信息中心等七个科级单位。行政编制18个，事业编制6个，实有24人。 </w:t>
      </w:r>
    </w:p>
    <w:p>
      <w:pPr>
        <w:spacing w:line="550" w:lineRule="exact"/>
        <w:ind w:firstLine="640" w:firstLineChars="200"/>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2．从决算单位构成看，纳入本部门2021年部门决算范围的预算单位共计1家，为沁源县人大常委会本级。</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2021</w:t>
      </w:r>
      <w:r>
        <w:rPr>
          <w:rFonts w:hint="eastAsia" w:ascii="黑体" w:hAnsi="黑体" w:eastAsia="黑体" w:cs="黑体"/>
          <w:sz w:val="32"/>
          <w:szCs w:val="32"/>
        </w:rPr>
        <w:t>年度主要工作完成情况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以来，县人大常委会机关坚持以习近平新时代中国特色社会主义思想为指导，在县委的坚强领导下，深入学习贯彻习近平法治思想、习近平总书记关于坚持和完善人民代表大会制度的重要思想和中央人大工作会议精神，坚持党的领导、人民当家作主、依法治国有机统一，按照省市决策部署，全面落实县十四次党代会确定的目标任务，立足发展新阶段，贯彻发展新理念，融入发展新格局，依法履职，担当尽责，为全方位推动绿色沁源高质量高速度发展作出了人大贡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十六届常委会召开常委会会议3次，表决通过决定决议7项，圆满完成了县乡两级人大换届工作任务。十七届常委会召开常委会会议5次，专项法律宣传2次，听取“一府两院”专项工作报告23项，配合省、市人大开展立法调研2次，开展执法检查11次、专题视察调研5次，依法任免国家机关工作人员83人次，较好地完成了全年工作任务，有效推动各项目标任务落地见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黑体" w:hAnsi="黑体" w:eastAsia="黑体"/>
          <w:kern w:val="0"/>
          <w:sz w:val="32"/>
          <w:szCs w:val="32"/>
        </w:rPr>
        <w:t>一</w:t>
      </w:r>
      <w:r>
        <w:rPr>
          <w:rFonts w:hint="eastAsia" w:ascii="黑体" w:hAnsi="黑体" w:eastAsia="黑体"/>
          <w:kern w:val="0"/>
          <w:sz w:val="32"/>
          <w:szCs w:val="32"/>
          <w:lang w:eastAsia="zh-CN"/>
        </w:rPr>
        <w:t>是</w:t>
      </w:r>
      <w:r>
        <w:rPr>
          <w:rFonts w:hint="eastAsia" w:ascii="黑体" w:hAnsi="黑体" w:eastAsia="黑体"/>
          <w:kern w:val="0"/>
          <w:sz w:val="32"/>
          <w:szCs w:val="32"/>
        </w:rPr>
        <w:t>坚持党的领导，牢牢把握人大工作正确政治方向</w:t>
      </w:r>
      <w:r>
        <w:rPr>
          <w:rFonts w:hint="eastAsia" w:ascii="黑体" w:hAnsi="黑体" w:eastAsia="黑体"/>
          <w:kern w:val="0"/>
          <w:sz w:val="32"/>
          <w:szCs w:val="32"/>
          <w:lang w:eastAsia="zh-CN"/>
        </w:rPr>
        <w:t>。</w:t>
      </w:r>
      <w:r>
        <w:rPr>
          <w:rFonts w:hint="eastAsia" w:ascii="楷体_GB2312" w:hAnsi="楷体_GB2312" w:eastAsia="楷体_GB2312" w:cs="楷体_GB2312"/>
          <w:b/>
          <w:bCs/>
          <w:kern w:val="0"/>
          <w:sz w:val="32"/>
          <w:szCs w:val="32"/>
        </w:rPr>
        <w:t>在学用中开展</w:t>
      </w:r>
      <w:r>
        <w:rPr>
          <w:rFonts w:hint="eastAsia" w:ascii="楷体_GB2312" w:hAnsi="楷体_GB2312" w:eastAsia="楷体_GB2312" w:cs="楷体_GB2312"/>
          <w:b/>
          <w:bCs/>
          <w:kern w:val="0"/>
          <w:sz w:val="32"/>
          <w:szCs w:val="32"/>
          <w:lang w:eastAsia="zh-CN"/>
        </w:rPr>
        <w:t>党史学习</w:t>
      </w:r>
      <w:r>
        <w:rPr>
          <w:rFonts w:hint="eastAsia" w:ascii="楷体_GB2312" w:hAnsi="楷体_GB2312" w:eastAsia="楷体_GB2312" w:cs="楷体_GB2312"/>
          <w:b/>
          <w:bCs/>
          <w:kern w:val="0"/>
          <w:sz w:val="32"/>
          <w:szCs w:val="32"/>
        </w:rPr>
        <w:t>。</w:t>
      </w:r>
      <w:r>
        <w:rPr>
          <w:rFonts w:hint="eastAsia" w:ascii="仿宋_GB2312" w:hAnsi="仿宋_GB2312" w:eastAsia="仿宋_GB2312" w:cs="仿宋_GB2312"/>
          <w:sz w:val="32"/>
          <w:szCs w:val="32"/>
          <w:lang w:val="en-US" w:eastAsia="zh-CN"/>
        </w:rPr>
        <w:t>坚持“一周双学”的制度，积极开展党史学习教育，拓展“我为群众办实事”活动，机关党员干部开展义务劳动，同时把主题党日活动和代表“双联系”活动结合起来，深入代表联络站倾听群众呼声，收集代表意见建议，协调解决乡村振兴中遇到的困难和问题，实实在在帮助群众办实事、办好事。</w:t>
      </w:r>
      <w:r>
        <w:rPr>
          <w:rFonts w:hint="eastAsia" w:ascii="楷体_GB2312" w:hAnsi="楷体_GB2312" w:eastAsia="楷体_GB2312" w:cs="楷体_GB2312"/>
          <w:b/>
          <w:bCs/>
          <w:kern w:val="0"/>
          <w:sz w:val="32"/>
          <w:szCs w:val="32"/>
          <w:lang w:val="en-US" w:eastAsia="zh-CN"/>
        </w:rPr>
        <w:t>在实践中坚定制度自信。</w:t>
      </w:r>
      <w:r>
        <w:rPr>
          <w:rFonts w:hint="eastAsia" w:ascii="仿宋_GB2312" w:hAnsi="仿宋_GB2312" w:eastAsia="仿宋_GB2312" w:cs="仿宋_GB2312"/>
          <w:sz w:val="32"/>
          <w:szCs w:val="32"/>
          <w:lang w:val="en-US" w:eastAsia="zh-CN"/>
        </w:rPr>
        <w:t>认真学习习近平总书记在中央人大工作会议上的重要讲话精神和栗战书委员长在中央人大工作会议上的总结讲话精神，积极开展中央人大工作会议精神、十九届六中全会全会精神以及省市第十二次党代会精神的专题学习，组织人大常委会机关全体成员围绕十九届六中全会全会精神和省市党代会精神进行了专题研讨，在乡镇人大主席中开展了学习交流，保证人大工作始终与党委思想同心、目标同向、行动同步。</w:t>
      </w:r>
      <w:r>
        <w:rPr>
          <w:rFonts w:hint="eastAsia" w:ascii="楷体_GB2312" w:hAnsi="楷体_GB2312" w:eastAsia="楷体_GB2312" w:cs="楷体_GB2312"/>
          <w:b/>
          <w:bCs/>
          <w:kern w:val="0"/>
          <w:sz w:val="32"/>
          <w:szCs w:val="32"/>
        </w:rPr>
        <w:t>在执行中体现政治担当。</w:t>
      </w:r>
      <w:r>
        <w:rPr>
          <w:rFonts w:hint="eastAsia" w:ascii="仿宋_GB2312" w:hAnsi="仿宋_GB2312" w:eastAsia="仿宋_GB2312" w:cs="仿宋_GB2312"/>
          <w:sz w:val="32"/>
          <w:szCs w:val="32"/>
          <w:lang w:val="en-US" w:eastAsia="zh-CN"/>
        </w:rPr>
        <w:t>围绕全县工作大局和人大常委会党组工作部署，积极推动各项监督工作顺利开展，坚持重要工作、重大活动请示报告制度，确保县委决策部署得到全面贯彻落实。2021年以来，就县人大常委会的重要会议、重大活动共计向县委请示报告42次，确保人大工作始终沿着正确方向前进，确保县委决策的全面贯彻执行。</w:t>
      </w:r>
      <w:r>
        <w:rPr>
          <w:rFonts w:hint="eastAsia" w:ascii="楷体_GB2312" w:hAnsi="楷体_GB2312" w:eastAsia="楷体_GB2312" w:cs="楷体_GB2312"/>
          <w:b/>
          <w:bCs/>
          <w:kern w:val="0"/>
          <w:sz w:val="32"/>
          <w:szCs w:val="32"/>
          <w:lang w:val="en-US" w:eastAsia="zh-CN" w:bidi="ar-SA"/>
        </w:rPr>
        <w:t>重视意识形态工作。</w:t>
      </w:r>
      <w:r>
        <w:rPr>
          <w:rFonts w:hint="eastAsia" w:ascii="仿宋_GB2312" w:hAnsi="仿宋_GB2312" w:eastAsia="仿宋_GB2312" w:cs="仿宋_GB2312"/>
          <w:kern w:val="2"/>
          <w:sz w:val="32"/>
          <w:szCs w:val="32"/>
          <w:lang w:val="en-US" w:eastAsia="zh-CN" w:bidi="ar-SA"/>
        </w:rPr>
        <w:t>坚持习近平新时代中国特色社会主义思想引领，确保机关意识形态工作方向不移、导向不偏、取向不变，坚持以人民为中心的立场，把人民群众的根本利益实现好、维护好、发展好。不断加强党员干部思想作风建设，坚持落实意识形态工作责任制，加强刚性约束，责任到人，把解决思想问题与解决实际问题相结合，一言一行严把政治关，按要求每季度进行研判，始终坚持人大工作正确的政治方向，讲好人大故事。</w:t>
      </w:r>
    </w:p>
    <w:p>
      <w:pPr>
        <w:keepNext w:val="0"/>
        <w:keepLines w:val="0"/>
        <w:pageBreakBefore w:val="0"/>
        <w:kinsoku/>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kern w:val="0"/>
          <w:sz w:val="32"/>
          <w:szCs w:val="32"/>
        </w:rPr>
        <w:t>二</w:t>
      </w:r>
      <w:r>
        <w:rPr>
          <w:rFonts w:hint="eastAsia" w:ascii="黑体" w:hAnsi="黑体" w:eastAsia="黑体"/>
          <w:kern w:val="0"/>
          <w:sz w:val="32"/>
          <w:szCs w:val="32"/>
          <w:lang w:eastAsia="zh-CN"/>
        </w:rPr>
        <w:t>是</w:t>
      </w:r>
      <w:r>
        <w:rPr>
          <w:rFonts w:hint="eastAsia" w:ascii="黑体" w:hAnsi="黑体" w:eastAsia="黑体"/>
          <w:kern w:val="0"/>
          <w:sz w:val="32"/>
          <w:szCs w:val="32"/>
        </w:rPr>
        <w:t>围绕中心大局，增强人大工作监督实效</w:t>
      </w:r>
      <w:r>
        <w:rPr>
          <w:rFonts w:hint="eastAsia" w:ascii="黑体" w:hAnsi="黑体" w:eastAsia="黑体"/>
          <w:kern w:val="0"/>
          <w:sz w:val="32"/>
          <w:szCs w:val="32"/>
          <w:lang w:eastAsia="zh-CN"/>
        </w:rPr>
        <w:t>。</w:t>
      </w:r>
      <w:r>
        <w:rPr>
          <w:rFonts w:hint="eastAsia" w:ascii="楷体_GB2312" w:hAnsi="楷体_GB2312" w:eastAsia="楷体_GB2312" w:cs="楷体_GB2312"/>
          <w:b/>
          <w:bCs/>
          <w:sz w:val="32"/>
          <w:szCs w:val="32"/>
          <w:lang w:val="en-US" w:eastAsia="zh-CN"/>
        </w:rPr>
        <w:t>精心筹备组织，圆满完成县乡换届。</w:t>
      </w:r>
      <w:r>
        <w:rPr>
          <w:rFonts w:hint="eastAsia" w:ascii="仿宋_GB2312" w:hAnsi="仿宋_GB2312" w:eastAsia="仿宋_GB2312" w:cs="仿宋_GB2312"/>
          <w:sz w:val="32"/>
          <w:szCs w:val="32"/>
          <w:lang w:val="en-US" w:eastAsia="zh-CN"/>
        </w:rPr>
        <w:t>依法顺利地完成了县乡两级人大换届选举工作任务，依法选举产生县人大常委会主任、副主任、委员，县人民政府县长、副县长，县监察委员会主任，县人民法院院长，县检察院检察长。表决通过了县十七届人大监察和司法委员会、财政经济委员会、社会建设委员会。</w:t>
      </w:r>
      <w:r>
        <w:rPr>
          <w:rFonts w:hint="eastAsia" w:ascii="楷体_GB2312" w:hAnsi="楷体_GB2312" w:eastAsia="楷体_GB2312" w:cs="楷体_GB2312"/>
          <w:b/>
          <w:bCs/>
          <w:kern w:val="2"/>
          <w:sz w:val="32"/>
          <w:szCs w:val="32"/>
          <w:lang w:val="en-US" w:eastAsia="zh-CN" w:bidi="ar-SA"/>
        </w:rPr>
        <w:t>认真履行法律监督职能，切实维护法律的公平公正。</w:t>
      </w:r>
      <w:r>
        <w:rPr>
          <w:rFonts w:hint="eastAsia" w:ascii="仿宋_GB2312" w:hAnsi="仿宋_GB2312" w:eastAsia="仿宋_GB2312" w:cs="仿宋_GB2312"/>
          <w:kern w:val="2"/>
          <w:sz w:val="32"/>
          <w:szCs w:val="32"/>
          <w:lang w:val="en-US" w:eastAsia="zh-CN" w:bidi="ar-SA"/>
        </w:rPr>
        <w:t>印制发放《中华人民共和国</w:t>
      </w:r>
      <w:bookmarkStart w:id="0" w:name="_GoBack"/>
      <w:bookmarkEnd w:id="0"/>
      <w:r>
        <w:rPr>
          <w:rFonts w:hint="eastAsia" w:ascii="仿宋_GB2312" w:hAnsi="仿宋_GB2312" w:eastAsia="仿宋_GB2312" w:cs="仿宋_GB2312"/>
          <w:kern w:val="2"/>
          <w:sz w:val="32"/>
          <w:szCs w:val="32"/>
          <w:lang w:val="en-US" w:eastAsia="zh-CN" w:bidi="ar-SA"/>
        </w:rPr>
        <w:t>宪法》和《民法典》宣传资料，与县融媒体中心联合拍摄《长治市文明行为促进条例》公益广告片20集，组织人大代表对县人民法院立案工作和基本解决执行难工作、县人民检察院控告申诉检察和公益诉讼工作、县司法局“八五”普法规划制定情况进行视察，全面了解各项工作的开展情况，有效推进司法为民和司法案件办理的公开公平公正；对我县《中华人民共和国禁毒法》实施情况和执法队伍规范化建设情况进行检查，听取专项汇报和基层工作人员的意见建议，及时向县政府有关部门进行执法检查情况反馈，对创建“无毒县”工作提出明确要求，切实保障全县人民群众身心健康和安全；听取审议县政府《关于禁毒法贯彻执行情况和执法队伍规范化建设情况的报告》、县法院《关于立案工作和基本解决执行难工作情况的报告》、县检察院《关于控告申诉检察工作情况的报告》、县司法局《关于“七五”普法规划实施情况和“八五”普法规划制定工作情况的报告》，并对上述法律法规的贯彻执行情况和专项工作的开展情况给予了充分肯定，提出了进一步提升工作质量的建议和要求，有效的促进了有关法律法规在我县的全面深入贯彻实施。</w:t>
      </w:r>
      <w:r>
        <w:rPr>
          <w:rFonts w:hint="eastAsia" w:ascii="楷体" w:hAnsi="楷体" w:eastAsia="楷体" w:cs="楷体"/>
          <w:b/>
          <w:bCs/>
          <w:sz w:val="32"/>
          <w:szCs w:val="32"/>
          <w:lang w:val="en-US" w:eastAsia="zh-CN"/>
        </w:rPr>
        <w:t>围绕全县发展大局，重点关注民生事项。</w:t>
      </w:r>
      <w:r>
        <w:rPr>
          <w:rFonts w:hint="eastAsia" w:ascii="仿宋_GB2312" w:hAnsi="仿宋_GB2312" w:eastAsia="仿宋_GB2312" w:cs="仿宋_GB2312"/>
          <w:kern w:val="2"/>
          <w:sz w:val="32"/>
          <w:szCs w:val="32"/>
          <w:lang w:val="en-US" w:eastAsia="zh-CN" w:bidi="ar-SA"/>
        </w:rPr>
        <w:t>对我县《中华人民共和国中医药法》贯彻执行情况进行了执法检查，对我县贯彻执行《长治不可移动文物保护条例》情况进行了专题调研，提出了针对性的建议意见；对我县教育质量提升工作进行了专题调研，重点围绕深化课堂教学改革、师德师风建设、双减政策落实、学前教育普惠发展、义务教育均衡发展以及县管校聘、校长职级制改革等进行了调研，了解了我县当前教育发展情况，针对调研中发现的问题提出了建议意见，助力全县教育工作健康全面发展。</w:t>
      </w:r>
      <w:r>
        <w:rPr>
          <w:rFonts w:hint="eastAsia" w:ascii="楷体" w:hAnsi="楷体" w:eastAsia="楷体" w:cs="楷体"/>
          <w:b/>
          <w:bCs/>
          <w:kern w:val="2"/>
          <w:sz w:val="32"/>
          <w:szCs w:val="32"/>
          <w:lang w:val="en-US" w:eastAsia="zh-CN" w:bidi="ar-SA"/>
        </w:rPr>
        <w:t>巩固脱贫攻坚成果，助力乡村振兴发展。</w:t>
      </w:r>
      <w:r>
        <w:rPr>
          <w:rFonts w:hint="eastAsia" w:ascii="仿宋_GB2312" w:hAnsi="仿宋_GB2312" w:eastAsia="仿宋_GB2312" w:cs="仿宋_GB2312"/>
          <w:kern w:val="2"/>
          <w:sz w:val="32"/>
          <w:szCs w:val="32"/>
          <w:lang w:val="en-US" w:eastAsia="zh-CN" w:bidi="ar-SA"/>
        </w:rPr>
        <w:t>组织全体机关党员干部深入所包村郭道镇东阳城村开展“我为群众办实事”活动，以人大代表联络站为依托，在定阳村召开人大代表联络服务座谈会，就乡村振兴和目前存在的问题和困难开展面对面交流，了解百姓诉求，倾听群众呼声，收集代表意见建议30条。针对定阳村内蓄水池侧漏造成群众饮水困难问题，多方协调，争取县政府及水利部门的支持，积极筹集资金，为定阳村解决饮水问题。同时，积极配合市人大开展调研，组建乡村振兴专题调研组，先后深入沁源县各村庄，就湖羊养殖、乡村产业发展、农村人居环境改善进行视察调研，从不同侧面了解我县实施乡村振兴战略主要工作举措、取得的工作成效、存在的问题不足，为全市乡村振兴工作的有效推进总结经验做法。</w:t>
      </w:r>
      <w:r>
        <w:rPr>
          <w:rFonts w:hint="eastAsia" w:ascii="楷体" w:hAnsi="楷体" w:eastAsia="楷体" w:cs="楷体"/>
          <w:b/>
          <w:bCs/>
          <w:kern w:val="2"/>
          <w:sz w:val="32"/>
          <w:szCs w:val="32"/>
          <w:lang w:val="en-US" w:eastAsia="zh-CN" w:bidi="ar-SA"/>
        </w:rPr>
        <w:t>紧扣改革发展大局，依法开展财经监督。</w:t>
      </w:r>
      <w:r>
        <w:rPr>
          <w:rFonts w:hint="eastAsia" w:ascii="仿宋_GB2312" w:hAnsi="仿宋_GB2312" w:eastAsia="仿宋_GB2312" w:cs="仿宋_GB2312"/>
          <w:sz w:val="32"/>
          <w:szCs w:val="32"/>
          <w:lang w:val="en-US" w:eastAsia="zh-CN"/>
        </w:rPr>
        <w:t>常听取和审议全县国民经济和社会发展计划执行情况、财政预决算、审计等报告。对全县重点项目、重点工程推进情况开展视察，并听取审议相关报告，全力支持创优经济发展环境，推动经济转型升级。贯彻落实《全国人大常委会办公厅关于推进地方人大预算联网监督工作的指导意见》《省人大常委会办公厅关于推进人大预算联网监督工作的实施意见》和全国、省、市人大关于预算联网监督工作的相关会议精神，进一步加强和改进人大预算审查监督，切实做好人大预算审查监督系统建设工作。</w:t>
      </w:r>
    </w:p>
    <w:p>
      <w:pPr>
        <w:keepNext w:val="0"/>
        <w:keepLines w:val="0"/>
        <w:pageBreakBefore w:val="0"/>
        <w:kinsoku/>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Times New Roman"/>
          <w:kern w:val="0"/>
          <w:sz w:val="32"/>
          <w:szCs w:val="32"/>
          <w:lang w:val="en-US" w:eastAsia="zh-CN"/>
        </w:rPr>
        <w:t>三是完善体制机制，全面服务代表履职。</w:t>
      </w:r>
      <w:r>
        <w:rPr>
          <w:rFonts w:hint="eastAsia" w:ascii="楷体" w:hAnsi="楷体" w:eastAsia="楷体" w:cs="楷体"/>
          <w:b/>
          <w:bCs/>
          <w:kern w:val="2"/>
          <w:sz w:val="32"/>
          <w:szCs w:val="32"/>
          <w:lang w:val="en-US" w:eastAsia="zh-CN"/>
        </w:rPr>
        <w:t>加强代表联络站建设，密切与人民群众的联系。</w:t>
      </w:r>
      <w:r>
        <w:rPr>
          <w:rFonts w:hint="eastAsia" w:ascii="仿宋_GB2312" w:hAnsi="仿宋_GB2312" w:eastAsia="仿宋_GB2312" w:cs="仿宋_GB2312"/>
          <w:kern w:val="2"/>
          <w:sz w:val="32"/>
          <w:szCs w:val="32"/>
          <w:lang w:val="en-US" w:eastAsia="zh-CN" w:bidi="ar-SA"/>
        </w:rPr>
        <w:t>始终坚持将代表联络站、点作为代表学习教育的宣传平台、履职尽责的展示平台、化解矛盾的沟通平台、围绕中心的服务平台、跟踪督办的落实平台，积极开展“我为群众办实事”活动，县四套班子主要领导带头进站服务。</w:t>
      </w:r>
      <w:r>
        <w:rPr>
          <w:rFonts w:hint="eastAsia" w:ascii="楷体" w:hAnsi="楷体" w:eastAsia="楷体" w:cs="楷体"/>
          <w:b/>
          <w:bCs/>
          <w:kern w:val="2"/>
          <w:sz w:val="32"/>
          <w:szCs w:val="32"/>
          <w:lang w:val="en-US" w:eastAsia="zh-CN"/>
        </w:rPr>
        <w:t>加强人大代表培训，不断提升代表履职能力。</w:t>
      </w:r>
      <w:r>
        <w:rPr>
          <w:rFonts w:hint="eastAsia" w:ascii="仿宋_GB2312" w:hAnsi="仿宋_GB2312" w:eastAsia="仿宋_GB2312" w:cs="仿宋_GB2312"/>
          <w:kern w:val="2"/>
          <w:sz w:val="32"/>
          <w:szCs w:val="32"/>
          <w:lang w:val="en-US" w:eastAsia="zh-CN" w:bidi="ar-SA"/>
        </w:rPr>
        <w:t>举办全县乡级人大代表履职能力提升培训班，组织全县12个乡镇的乡级人大代表、县人大常委会机关工作人员共计500余人参加。</w:t>
      </w:r>
      <w:r>
        <w:rPr>
          <w:rFonts w:hint="eastAsia" w:ascii="楷体" w:hAnsi="楷体" w:eastAsia="楷体" w:cs="楷体"/>
          <w:b/>
          <w:bCs/>
          <w:kern w:val="2"/>
          <w:sz w:val="32"/>
          <w:szCs w:val="32"/>
          <w:lang w:val="en-US" w:eastAsia="zh-CN" w:bidi="ar-SA"/>
        </w:rPr>
        <w:t>创新建议督办方式，激发代表履职热情。</w:t>
      </w:r>
      <w:r>
        <w:rPr>
          <w:rFonts w:hint="eastAsia" w:ascii="仿宋_GB2312" w:hAnsi="仿宋_GB2312" w:eastAsia="仿宋_GB2312" w:cs="仿宋_GB2312"/>
          <w:sz w:val="32"/>
          <w:szCs w:val="32"/>
          <w:lang w:val="en-US" w:eastAsia="zh-CN"/>
        </w:rPr>
        <w:t xml:space="preserve">县十七届人大一次会议共交办督办代表意见、建议146件，一批事关人民群众切身利益的建议案，得到政府及有关部门的重视，代表的真知灼见越来越多地转化为经济社会发展的生动实践。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6"/>
          <w:szCs w:val="36"/>
          <w:lang w:eastAsia="zh-CN"/>
        </w:rPr>
      </w:pPr>
      <w:r>
        <w:rPr>
          <w:rFonts w:hint="eastAsia" w:ascii="黑体" w:hAnsi="黑体" w:eastAsia="黑体" w:cs="宋体"/>
          <w:bCs/>
          <w:kern w:val="0"/>
          <w:sz w:val="32"/>
          <w:szCs w:val="32"/>
          <w:lang w:eastAsia="zh-CN"/>
        </w:rPr>
        <w:t>四是</w:t>
      </w:r>
      <w:r>
        <w:rPr>
          <w:rFonts w:hint="eastAsia" w:ascii="黑体" w:hAnsi="黑体" w:eastAsia="黑体" w:cs="宋体"/>
          <w:bCs/>
          <w:kern w:val="0"/>
          <w:sz w:val="32"/>
          <w:szCs w:val="32"/>
        </w:rPr>
        <w:t>强化服务保障，切实加强机关自身建设</w:t>
      </w:r>
      <w:r>
        <w:rPr>
          <w:rFonts w:hint="eastAsia" w:ascii="黑体" w:hAnsi="黑体" w:eastAsia="黑体" w:cs="宋体"/>
          <w:bCs/>
          <w:kern w:val="0"/>
          <w:sz w:val="32"/>
          <w:szCs w:val="32"/>
          <w:lang w:eastAsia="zh-CN"/>
        </w:rPr>
        <w:t>。</w:t>
      </w:r>
      <w:r>
        <w:rPr>
          <w:rFonts w:hint="eastAsia" w:ascii="楷体" w:hAnsi="楷体" w:eastAsia="楷体" w:cs="楷体"/>
          <w:b/>
          <w:bCs/>
          <w:kern w:val="2"/>
          <w:sz w:val="32"/>
          <w:szCs w:val="32"/>
          <w:lang w:val="en-US" w:eastAsia="zh-CN" w:bidi="ar-SA"/>
        </w:rPr>
        <w:t>着力强化作风建设。</w:t>
      </w:r>
      <w:r>
        <w:rPr>
          <w:rFonts w:hint="eastAsia" w:ascii="仿宋_GB2312" w:hAnsi="仿宋_GB2312" w:eastAsia="仿宋_GB2312" w:cs="仿宋_GB2312"/>
          <w:sz w:val="32"/>
          <w:szCs w:val="32"/>
          <w:lang w:val="en-US" w:eastAsia="zh-CN"/>
        </w:rPr>
        <w:t>全面落实从严治党要求，严格履行党风廉政建设责任制，坚决执行中央八项规定和省市县委的配套规定，持之以恒抓作风促整改，定期组织机关党员干部开展廉政警示教育学习，组织观看《镜鉴》、《初心与蜕变》等警示教育片，以高标准、严要求巩固作风建设成果，树立了廉洁、忠诚、干净、担当的国家权力机关形象。</w:t>
      </w:r>
      <w:r>
        <w:rPr>
          <w:rFonts w:hint="eastAsia" w:ascii="楷体" w:hAnsi="楷体" w:eastAsia="楷体" w:cs="楷体"/>
          <w:b/>
          <w:bCs/>
          <w:kern w:val="2"/>
          <w:sz w:val="32"/>
          <w:szCs w:val="32"/>
          <w:lang w:val="en-US" w:eastAsia="zh-CN" w:bidi="ar-SA"/>
        </w:rPr>
        <w:t>着力强化制度建设。</w:t>
      </w:r>
      <w:r>
        <w:rPr>
          <w:rFonts w:hint="eastAsia" w:ascii="仿宋_GB2312" w:hAnsi="仿宋_GB2312" w:eastAsia="仿宋_GB2312" w:cs="仿宋_GB2312"/>
          <w:kern w:val="2"/>
          <w:sz w:val="32"/>
          <w:szCs w:val="32"/>
          <w:lang w:val="en-US" w:eastAsia="zh-CN" w:bidi="ar-SA"/>
        </w:rPr>
        <w:t>重新完善、修订了《沁源县人大常委会基础工作目录》《沁源县人大常委会管理手册》《沁源县人大常委会应知应会手册》，领导班子带头，做好制度的执行与落实，不断提高机关整体工作效能，保证工作质量，全面提升机关管理和党组、支部建设的科学化、规范化水平。</w:t>
      </w:r>
      <w:r>
        <w:rPr>
          <w:rFonts w:hint="eastAsia" w:ascii="楷体" w:hAnsi="楷体" w:eastAsia="楷体" w:cs="楷体"/>
          <w:b/>
          <w:bCs/>
          <w:kern w:val="2"/>
          <w:sz w:val="32"/>
          <w:szCs w:val="32"/>
          <w:lang w:val="en-US" w:eastAsia="zh-CN" w:bidi="ar-SA"/>
        </w:rPr>
        <w:t>着力强化过硬队伍。</w:t>
      </w:r>
      <w:r>
        <w:rPr>
          <w:rFonts w:hint="eastAsia" w:ascii="仿宋_GB2312" w:hAnsi="仿宋_GB2312" w:eastAsia="仿宋_GB2312" w:cs="仿宋_GB2312"/>
          <w:sz w:val="32"/>
          <w:szCs w:val="32"/>
          <w:lang w:val="en-US" w:eastAsia="zh-CN"/>
        </w:rPr>
        <w:t xml:space="preserve">采取“一周双学”、专题培训、警示教育等多种措施对人大干部队伍进行“充电”“加油”，着力打造一支“政治过硬、本领高强、担当作为、作风严实、廉洁勤政”的高素质人大干部队伍，为推进人大工作、推进依法治国贡献智慧和力量。 </w:t>
      </w: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both"/>
        <w:textAlignment w:val="auto"/>
        <w:rPr>
          <w:rFonts w:hint="default" w:ascii="仿宋_GB2312" w:hAnsi="仿宋_GB2312" w:eastAsia="仿宋_GB2312" w:cs="仿宋_GB2312"/>
          <w:b/>
          <w:bCs/>
          <w:sz w:val="36"/>
          <w:szCs w:val="36"/>
          <w:lang w:val="en-US" w:eastAsia="zh-CN"/>
        </w:rPr>
        <w:sectPr>
          <w:footerReference r:id="rId5" w:type="default"/>
          <w:pgSz w:w="11906" w:h="16838"/>
          <w:pgMar w:top="1440" w:right="1797" w:bottom="1440" w:left="1797" w:header="851" w:footer="992" w:gutter="0"/>
          <w:cols w:space="720" w:num="1"/>
          <w:docGrid w:type="lines" w:linePitch="312" w:charSpace="0"/>
        </w:sectPr>
      </w:pPr>
      <w:r>
        <w:rPr>
          <w:rFonts w:hint="eastAsia" w:ascii="仿宋_GB2312" w:hAnsi="仿宋_GB2312" w:eastAsia="仿宋_GB2312" w:cs="仿宋_GB2312"/>
          <w:b/>
          <w:bCs/>
          <w:sz w:val="36"/>
          <w:szCs w:val="36"/>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ind w:left="0" w:leftChars="0" w:firstLine="361" w:firstLineChars="10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6"/>
          <w:szCs w:val="36"/>
        </w:rPr>
        <w:pict>
          <v:shape id="_x0000_s1036" o:spid="_x0000_s1036" o:spt="75" type="#_x0000_t75" style="position:absolute;left:0pt;margin-left:-5.3pt;margin-top:30.1pt;height:414.7pt;width:691.4pt;mso-wrap-distance-left:9pt;mso-wrap-distance-right:9pt;z-index:-251649024;mso-width-relative:page;mso-height-relative:page;" o:ole="t" filled="f" o:preferrelative="t" stroked="f" coordsize="21600,21600" wrapcoords="21592 -2 0 0 0 21600 21592 21602 8 21602 21600 21600 21600 0 8 -2 21592 -2">
            <v:path/>
            <v:fill on="f" focussize="0,0"/>
            <v:stroke on="f"/>
            <v:imagedata r:id="rId8" o:title=""/>
            <o:lock v:ext="edit" aspectratio="t"/>
            <w10:wrap type="tight"/>
          </v:shape>
          <o:OLEObject Type="Embed" ProgID="Excel.Sheet.8" ShapeID="_x0000_s1036" DrawAspect="Content" ObjectID="_1468075725" r:id="rId7">
            <o:LockedField>false</o:LockedField>
          </o:OLEObject>
        </w:pict>
      </w:r>
      <w:r>
        <w:rPr>
          <w:rFonts w:hint="eastAsia" w:ascii="仿宋_GB2312" w:hAnsi="仿宋_GB2312" w:eastAsia="仿宋_GB2312" w:cs="仿宋_GB2312"/>
          <w:b/>
          <w:bCs/>
          <w:sz w:val="36"/>
          <w:szCs w:val="36"/>
          <w:lang w:eastAsia="zh-CN"/>
        </w:rPr>
        <w:t>第二部分</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lang w:eastAsia="zh-CN"/>
        </w:rPr>
        <w:t>沁源县人大常委会2021</w:t>
      </w:r>
      <w:r>
        <w:rPr>
          <w:rFonts w:hint="eastAsia" w:ascii="仿宋_GB2312" w:hAnsi="仿宋_GB2312" w:eastAsia="仿宋_GB2312" w:cs="仿宋_GB2312"/>
          <w:b/>
          <w:bCs/>
          <w:sz w:val="36"/>
          <w:szCs w:val="36"/>
        </w:rPr>
        <w:t>年度部门决算表</w: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4" o:spid="_x0000_s1027" o:spt="75" type="#_x0000_t75" style="position:absolute;left:0pt;margin-left:-6.75pt;margin-top:0.55pt;height:402.65pt;width:695.2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v:imagedata r:id="rId10" o:title=""/>
            <o:lock v:ext="edit" aspectratio="t"/>
            <w10:wrap type="tight"/>
          </v:shape>
          <o:OLEObject Type="Embed" ProgID="Excel.Sheet.8" ShapeID="Object 4" DrawAspect="Content" ObjectID="_1468075726" r:id="rId9">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5" o:spid="_x0000_s1028" o:spt="75" type="#_x0000_t75" style="position:absolute;left:0pt;margin-left:0.45pt;margin-top:11.35pt;height:402pt;width:696.7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12" o:title=""/>
            <o:lock v:ext="edit" aspectratio="t"/>
            <w10:wrap type="tight"/>
          </v:shape>
          <o:OLEObject Type="Embed" ProgID="Excel.Sheet.8" ShapeID="Object 5" DrawAspect="Content" ObjectID="_1468075727" r:id="rId11">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6" o:spid="_x0000_s1029" o:spt="75" type="#_x0000_t75" style="position:absolute;left:0pt;margin-left:2.75pt;margin-top:0.25pt;height:409.1pt;width:690.9pt;mso-wrap-distance-left:9pt;mso-wrap-distance-right:9pt;z-index:-251655168;mso-width-relative:page;mso-height-relative:page;" o:ole="t" filled="f" o:preferrelative="t" stroked="f" coordsize="21600,21600" wrapcoords="21592 -2 0 0 0 21600 21592 21602 8 21602 21600 21600 21600 0 8 -2 21592 -2">
            <v:path/>
            <v:fill on="f" focussize="0,0"/>
            <v:stroke on="f"/>
            <v:imagedata r:id="rId14" o:title=""/>
            <o:lock v:ext="edit" aspectratio="t"/>
            <w10:wrap type="tight"/>
          </v:shape>
          <o:OLEObject Type="Embed" ProgID="Excel.Sheet.8" ShapeID="Object 6" DrawAspect="Content" ObjectID="_1468075728" r:id="rId13">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8" o:spid="_x0000_s1030" o:spt="75" type="#_x0000_t75" style="position:absolute;left:0pt;margin-left:12.2pt;margin-top:7.95pt;height:400.5pt;width:693pt;mso-wrap-distance-left:9pt;mso-wrap-distance-right:9pt;z-index:-251654144;mso-width-relative:page;mso-height-relative:page;" o:ole="t" filled="f" o:preferrelative="t" stroked="f" coordsize="21600,21600" wrapcoords="21592 -2 0 0 0 21600 21592 21602 8 21602 21600 21600 21600 0 8 -2 21592 -2">
            <v:path/>
            <v:fill on="f" focussize="0,0"/>
            <v:stroke on="f"/>
            <v:imagedata r:id="rId16" o:title=""/>
            <o:lock v:ext="edit" aspectratio="t"/>
            <w10:wrap type="tight"/>
          </v:shape>
          <o:OLEObject Type="Embed" ProgID="Excel.Sheet.8" ShapeID="Object 8" DrawAspect="Content" ObjectID="_1468075729" r:id="rId15">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_x0000_s1038" o:spid="_x0000_s1038" o:spt="75" type="#_x0000_t75" style="position:absolute;left:0pt;margin-left:4.9pt;margin-top:34.45pt;height:422.25pt;width:699.45pt;mso-wrap-distance-left:9pt;mso-wrap-distance-right:9pt;z-index:-251648000;mso-width-relative:page;mso-height-relative:page;" o:ole="t" filled="f" o:preferrelative="t" stroked="f" coordsize="21600,21600" wrapcoords="21592 -2 0 0 0 21600 21592 21602 8 21602 21600 21600 21600 0 8 -2 21592 -2">
            <v:path/>
            <v:fill on="f" focussize="0,0"/>
            <v:stroke on="f"/>
            <v:imagedata r:id="rId18" o:title=""/>
            <o:lock v:ext="edit" aspectratio="t"/>
            <w10:wrap type="tight"/>
          </v:shape>
          <o:OLEObject Type="Embed" ProgID="Excel.Sheet.8" ShapeID="_x0000_s1038" DrawAspect="Content" ObjectID="_1468075730" r:id="rId17">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10" o:spid="_x0000_s1032" o:spt="75" type="#_x0000_t75" style="position:absolute;left:0pt;margin-left:2.15pt;margin-top:207.7pt;height:228.85pt;width:694.9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v:imagedata r:id="rId20" o:title=""/>
            <o:lock v:ext="edit" aspectratio="t"/>
            <w10:wrap type="tight"/>
          </v:shape>
          <o:OLEObject Type="Embed" ProgID="Excel.Sheet.8" ShapeID="Object 10" DrawAspect="Content" ObjectID="_1468075731" r:id="rId19">
            <o:LockedField>false</o:LockedField>
          </o:OLEObject>
        </w:pict>
      </w:r>
      <w:r>
        <w:rPr>
          <w:rFonts w:hint="eastAsia" w:ascii="仿宋_GB2312" w:hAnsi="仿宋_GB2312" w:eastAsia="仿宋_GB2312" w:cs="仿宋_GB2312"/>
          <w:b/>
          <w:bCs/>
          <w:sz w:val="36"/>
          <w:szCs w:val="36"/>
          <w:lang w:eastAsia="zh-CN"/>
        </w:rPr>
        <w:pict>
          <v:shape id="Object 9" o:spid="_x0000_s1033" o:spt="75" type="#_x0000_t75" style="position:absolute;left:0pt;margin-left:3.65pt;margin-top:2.85pt;height:196.95pt;width:690.65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v:imagedata r:id="rId22" o:title=""/>
            <o:lock v:ext="edit" aspectratio="t"/>
            <w10:wrap type="tight"/>
          </v:shape>
          <o:OLEObject Type="Embed" ProgID="Excel.Sheet.8" ShapeID="Object 9" DrawAspect="Content" ObjectID="_1468075732" r:id="rId21">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both"/>
        <w:textAlignment w:val="auto"/>
        <w:rPr>
          <w:rFonts w:hint="eastAsia" w:ascii="仿宋_GB2312" w:hAnsi="仿宋_GB2312" w:eastAsia="仿宋_GB2312" w:cs="仿宋_GB2312"/>
          <w:b/>
          <w:bCs/>
          <w:sz w:val="36"/>
          <w:szCs w:val="36"/>
          <w:lang w:eastAsia="zh-CN"/>
        </w:rPr>
        <w:sectPr>
          <w:pgSz w:w="16838" w:h="11906" w:orient="landscape"/>
          <w:pgMar w:top="1797" w:right="1440" w:bottom="1797" w:left="1440" w:header="851" w:footer="992" w:gutter="0"/>
          <w:cols w:space="720" w:num="1"/>
          <w:rtlGutter w:val="0"/>
          <w:docGrid w:type="lines" w:linePitch="437" w:charSpace="0"/>
        </w:sectPr>
      </w:pP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both"/>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14" o:spid="_x0000_s1035" o:spt="75" type="#_x0000_t75" style="position:absolute;left:0pt;margin-left:-7.15pt;margin-top:252.7pt;height:429.2pt;width:426.75pt;mso-wrap-distance-left:9pt;mso-wrap-distance-right:9pt;z-index:-251650048;mso-width-relative:page;mso-height-relative:page;" o:ole="t" filled="f" o:preferrelative="t" stroked="f" coordsize="21600,21600" wrapcoords="21592 -2 0 0 0 21600 21592 21602 8 21602 21600 21600 21600 0 8 -2 21592 -2">
            <v:path/>
            <v:fill on="f" focussize="0,0"/>
            <v:stroke on="f"/>
            <v:imagedata r:id="rId24" o:title=""/>
            <o:lock v:ext="edit" aspectratio="t"/>
            <w10:wrap type="tight"/>
          </v:shape>
          <o:OLEObject Type="Embed" ProgID="Excel.Sheet.8" ShapeID="Object 14" DrawAspect="Content" ObjectID="_1468075733" r:id="rId23">
            <o:LockedField>false</o:LockedField>
          </o:OLEObject>
        </w:pict>
      </w:r>
      <w:r>
        <w:rPr>
          <w:rFonts w:hint="eastAsia" w:ascii="仿宋_GB2312" w:hAnsi="仿宋_GB2312" w:eastAsia="仿宋_GB2312" w:cs="仿宋_GB2312"/>
          <w:b/>
          <w:bCs/>
          <w:sz w:val="36"/>
          <w:szCs w:val="36"/>
          <w:lang w:eastAsia="zh-CN"/>
        </w:rPr>
        <w:pict>
          <v:shape id="Object 11" o:spid="_x0000_s1034" o:spt="75" type="#_x0000_t75" style="position:absolute;left:0pt;margin-left:-5.95pt;margin-top:21.9pt;height:193.05pt;width:424.65pt;mso-wrap-distance-left:9pt;mso-wrap-distance-right:9pt;z-index:-251651072;mso-width-relative:page;mso-height-relative:page;" o:ole="t" filled="f" o:preferrelative="t" stroked="f" coordsize="21600,21600" wrapcoords="21592 -2 0 0 0 21600 21592 21602 8 21602 21600 21600 21600 0 8 -2 21592 -2">
            <v:path/>
            <v:fill on="f" focussize="0,0"/>
            <v:stroke on="f"/>
            <v:imagedata r:id="rId26" o:title=""/>
            <o:lock v:ext="edit" aspectratio="t"/>
            <w10:wrap type="tight"/>
          </v:shape>
          <o:OLEObject Type="Embed" ProgID="Excel.Sheet.8" ShapeID="Object 11" DrawAspect="Content" ObjectID="_1468075734" r:id="rId25">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第三部分  </w:t>
      </w:r>
      <w:r>
        <w:rPr>
          <w:rFonts w:hint="eastAsia" w:ascii="仿宋_GB2312" w:hAnsi="仿宋_GB2312" w:eastAsia="仿宋_GB2312" w:cs="仿宋_GB2312"/>
          <w:b/>
          <w:bCs/>
          <w:sz w:val="36"/>
          <w:szCs w:val="36"/>
          <w:lang w:eastAsia="zh-CN"/>
        </w:rPr>
        <w:t>2021</w:t>
      </w:r>
      <w:r>
        <w:rPr>
          <w:rFonts w:hint="eastAsia" w:ascii="仿宋_GB2312" w:hAnsi="仿宋_GB2312" w:eastAsia="仿宋_GB2312" w:cs="仿宋_GB2312"/>
          <w:b/>
          <w:bCs/>
          <w:sz w:val="36"/>
          <w:szCs w:val="36"/>
        </w:rPr>
        <w:t>年度决算情况说明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一、收入支出总体情况说明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沁源县人民代表大会常务委员会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年度收入</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万元，与上年相比收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30.23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7.71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，支出减少</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人员变动，经费有所增减</w:t>
      </w:r>
      <w:r>
        <w:rPr>
          <w:rFonts w:hint="eastAsia" w:ascii="仿宋_GB2312" w:hAnsi="仿宋_GB2312" w:eastAsia="仿宋_GB2312" w:cs="仿宋_GB2312"/>
          <w:sz w:val="32"/>
          <w:szCs w:val="32"/>
        </w:rPr>
        <w:t>。其中：</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（一）收入总计</w:t>
      </w:r>
      <w:r>
        <w:rPr>
          <w:rFonts w:hint="eastAsia" w:ascii="楷体_GB2312" w:hAnsi="楷体_GB2312" w:eastAsia="楷体_GB2312" w:cs="楷体_GB2312"/>
          <w:sz w:val="32"/>
          <w:szCs w:val="32"/>
          <w:lang w:val="en-US" w:eastAsia="zh-CN"/>
        </w:rPr>
        <w:t>422.52</w:t>
      </w:r>
      <w:r>
        <w:rPr>
          <w:rFonts w:hint="eastAsia" w:ascii="楷体_GB2312" w:hAnsi="楷体_GB2312" w:eastAsia="楷体_GB2312" w:cs="楷体_GB2312"/>
          <w:sz w:val="32"/>
          <w:szCs w:val="32"/>
        </w:rPr>
        <w:t>万元。包括：</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w:t>
      </w:r>
      <w:r>
        <w:rPr>
          <w:rFonts w:hint="eastAsia" w:ascii="仿宋_GB2312" w:hAnsi="仿宋_GB2312" w:eastAsia="仿宋_GB2312" w:cs="仿宋_GB2312"/>
          <w:sz w:val="32"/>
          <w:szCs w:val="32"/>
          <w:lang w:val="en-US" w:eastAsia="zh-CN"/>
        </w:rPr>
        <w:t>422.52</w:t>
      </w:r>
      <w:r>
        <w:rPr>
          <w:rFonts w:hint="eastAsia" w:ascii="仿宋_GB2312" w:hAnsi="仿宋_GB2312" w:eastAsia="仿宋_GB2312" w:cs="仿宋_GB2312"/>
          <w:sz w:val="32"/>
          <w:szCs w:val="32"/>
        </w:rPr>
        <w:t>万元，为当年从财政取得的一般公共预算拨款和政府性基金预算拨款，与上年相比增加</w:t>
      </w:r>
      <w:r>
        <w:rPr>
          <w:rFonts w:hint="eastAsia" w:ascii="仿宋_GB2312" w:hAnsi="仿宋_GB2312" w:eastAsia="仿宋_GB2312" w:cs="仿宋_GB2312"/>
          <w:sz w:val="32"/>
          <w:szCs w:val="32"/>
          <w:lang w:val="en-US" w:eastAsia="zh-CN"/>
        </w:rPr>
        <w:t>30.23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7.71</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人员变动，经费有所增减</w:t>
      </w:r>
      <w:r>
        <w:rPr>
          <w:rFonts w:hint="eastAsia" w:ascii="仿宋_GB2312" w:hAnsi="仿宋_GB2312" w:eastAsia="仿宋_GB2312" w:cs="仿宋_GB2312"/>
          <w:sz w:val="32"/>
          <w:szCs w:val="32"/>
        </w:rPr>
        <w:t>。</w:t>
      </w:r>
    </w:p>
    <w:p>
      <w:pPr>
        <w:spacing w:line="55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上级补助收入0万元。</w:t>
      </w:r>
    </w:p>
    <w:p>
      <w:pPr>
        <w:spacing w:line="55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3．事业收入0万元。</w:t>
      </w:r>
    </w:p>
    <w:p>
      <w:pPr>
        <w:spacing w:line="55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4．经营收入0 万元。</w:t>
      </w:r>
    </w:p>
    <w:p>
      <w:pPr>
        <w:spacing w:line="55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5．附属单位上缴收入0万元。</w:t>
      </w:r>
    </w:p>
    <w:p>
      <w:pPr>
        <w:spacing w:line="55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6．其他收入0万元。</w:t>
      </w:r>
    </w:p>
    <w:p>
      <w:pPr>
        <w:spacing w:line="55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7．用事业基金弥补收支差额0万元。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（二）支出总计</w:t>
      </w:r>
      <w:r>
        <w:rPr>
          <w:rFonts w:hint="eastAsia" w:ascii="楷体_GB2312" w:hAnsi="楷体_GB2312" w:eastAsia="楷体_GB2312" w:cs="楷体_GB2312"/>
          <w:sz w:val="32"/>
          <w:szCs w:val="32"/>
          <w:lang w:val="en-US" w:eastAsia="zh-CN"/>
        </w:rPr>
        <w:t>422.52</w:t>
      </w:r>
      <w:r>
        <w:rPr>
          <w:rFonts w:hint="eastAsia" w:ascii="楷体_GB2312" w:hAnsi="楷体_GB2312" w:eastAsia="楷体_GB2312" w:cs="楷体_GB2312"/>
          <w:sz w:val="32"/>
          <w:szCs w:val="32"/>
        </w:rPr>
        <w:t>万元。包括：</w:t>
      </w:r>
    </w:p>
    <w:p>
      <w:pPr>
        <w:pStyle w:val="12"/>
        <w:spacing w:line="360" w:lineRule="auto"/>
        <w:ind w:firstLine="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一般公共服务（类）支出</w:t>
      </w:r>
      <w:r>
        <w:rPr>
          <w:rFonts w:hint="eastAsia" w:ascii="仿宋_GB2312" w:hAnsi="仿宋_GB2312" w:eastAsia="仿宋_GB2312" w:cs="仿宋_GB2312"/>
          <w:sz w:val="32"/>
          <w:szCs w:val="32"/>
          <w:u w:val="none"/>
          <w:lang w:val="en-US" w:eastAsia="zh-CN"/>
        </w:rPr>
        <w:t>366.0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kern w:val="2"/>
          <w:sz w:val="32"/>
          <w:szCs w:val="32"/>
          <w:lang w:val="en-US" w:eastAsia="zh-CN" w:bidi="ar-SA"/>
        </w:rPr>
        <w:t>工资福利支等人大一般公共服务支出。</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u w:val="none"/>
          <w:lang w:val="en-US" w:eastAsia="zh-CN"/>
        </w:rPr>
        <w:t>13.58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3.85</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人员调动，工资有所</w:t>
      </w:r>
      <w:r>
        <w:rPr>
          <w:rFonts w:hint="eastAsia" w:ascii="仿宋_GB2312" w:hAnsi="仿宋_GB2312" w:cs="仿宋_GB2312"/>
          <w:sz w:val="32"/>
          <w:szCs w:val="32"/>
          <w:lang w:eastAsia="zh-CN"/>
        </w:rPr>
        <w:t>变动。</w:t>
      </w:r>
    </w:p>
    <w:p>
      <w:pPr>
        <w:pStyle w:val="12"/>
        <w:spacing w:line="360" w:lineRule="auto"/>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社会保障和就业（类）支出</w:t>
      </w:r>
      <w:r>
        <w:rPr>
          <w:rFonts w:hint="eastAsia" w:ascii="仿宋_GB2312" w:hAnsi="仿宋_GB2312" w:cs="仿宋_GB2312"/>
          <w:kern w:val="2"/>
          <w:sz w:val="32"/>
          <w:szCs w:val="32"/>
          <w:lang w:val="en-US" w:eastAsia="zh-CN" w:bidi="ar-SA"/>
        </w:rPr>
        <w:t>28.63</w:t>
      </w:r>
      <w:r>
        <w:rPr>
          <w:rFonts w:hint="eastAsia" w:ascii="仿宋_GB2312" w:hAnsi="仿宋_GB2312" w:eastAsia="仿宋_GB2312" w:cs="仿宋_GB2312"/>
          <w:kern w:val="2"/>
          <w:sz w:val="32"/>
          <w:szCs w:val="32"/>
          <w:lang w:val="en-US" w:eastAsia="zh-CN" w:bidi="ar-SA"/>
        </w:rPr>
        <w:t>万元，主要用于单位基本养老保险缴费支出。</w:t>
      </w:r>
      <w:r>
        <w:rPr>
          <w:rFonts w:hint="eastAsia" w:ascii="仿宋_GB2312" w:hAnsi="仿宋_GB2312" w:eastAsia="仿宋_GB2312" w:cs="仿宋_GB2312"/>
          <w:sz w:val="32"/>
          <w:szCs w:val="32"/>
        </w:rPr>
        <w:t>与上年相比</w:t>
      </w:r>
      <w:r>
        <w:rPr>
          <w:rFonts w:hint="eastAsia" w:ascii="仿宋_GB2312" w:hAnsi="仿宋_GB2312" w:cs="仿宋_GB2312"/>
          <w:sz w:val="32"/>
          <w:szCs w:val="32"/>
          <w:lang w:eastAsia="zh-CN"/>
        </w:rPr>
        <w:t>减少</w:t>
      </w:r>
      <w:r>
        <w:rPr>
          <w:rFonts w:hint="eastAsia" w:ascii="仿宋_GB2312" w:hAnsi="仿宋_GB2312" w:cs="仿宋_GB2312"/>
          <w:sz w:val="32"/>
          <w:szCs w:val="32"/>
          <w:u w:val="none"/>
          <w:lang w:val="en-US" w:eastAsia="zh-CN"/>
        </w:rPr>
        <w:t>9.93</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减少</w:t>
      </w:r>
      <w:r>
        <w:rPr>
          <w:rFonts w:hint="eastAsia" w:ascii="仿宋_GB2312" w:hAnsi="仿宋_GB2312" w:cs="仿宋_GB2312"/>
          <w:sz w:val="32"/>
          <w:szCs w:val="32"/>
          <w:lang w:val="en-US" w:eastAsia="zh-CN"/>
        </w:rPr>
        <w:t>25.75</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人员调动，工资</w:t>
      </w:r>
      <w:r>
        <w:rPr>
          <w:rFonts w:hint="eastAsia" w:ascii="仿宋_GB2312" w:hAnsi="仿宋_GB2312" w:cs="仿宋_GB2312"/>
          <w:sz w:val="32"/>
          <w:szCs w:val="32"/>
          <w:lang w:eastAsia="zh-CN"/>
        </w:rPr>
        <w:t>基数有</w:t>
      </w:r>
      <w:r>
        <w:rPr>
          <w:rFonts w:hint="eastAsia" w:ascii="仿宋_GB2312" w:hAnsi="仿宋_GB2312" w:eastAsia="仿宋_GB2312" w:cs="仿宋_GB2312"/>
          <w:sz w:val="32"/>
          <w:szCs w:val="32"/>
          <w:lang w:eastAsia="zh-CN"/>
        </w:rPr>
        <w:t>所</w:t>
      </w:r>
      <w:r>
        <w:rPr>
          <w:rFonts w:hint="eastAsia" w:ascii="仿宋_GB2312" w:hAnsi="仿宋_GB2312" w:cs="仿宋_GB2312"/>
          <w:sz w:val="32"/>
          <w:szCs w:val="32"/>
          <w:lang w:eastAsia="zh-CN"/>
        </w:rPr>
        <w:t>变动。</w:t>
      </w:r>
    </w:p>
    <w:p>
      <w:pPr>
        <w:pStyle w:val="12"/>
        <w:spacing w:line="360" w:lineRule="auto"/>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3.卫生健康（类）支出</w:t>
      </w:r>
      <w:r>
        <w:rPr>
          <w:rFonts w:hint="eastAsia" w:ascii="仿宋_GB2312" w:hAnsi="仿宋_GB2312" w:cs="仿宋_GB2312"/>
          <w:kern w:val="2"/>
          <w:sz w:val="32"/>
          <w:szCs w:val="32"/>
          <w:lang w:val="en-US" w:eastAsia="zh-CN" w:bidi="ar-SA"/>
        </w:rPr>
        <w:t>7.87</w:t>
      </w:r>
      <w:r>
        <w:rPr>
          <w:rFonts w:hint="eastAsia" w:ascii="仿宋_GB2312" w:hAnsi="仿宋_GB2312" w:eastAsia="仿宋_GB2312" w:cs="仿宋_GB2312"/>
          <w:kern w:val="2"/>
          <w:sz w:val="32"/>
          <w:szCs w:val="32"/>
          <w:lang w:val="en-US" w:eastAsia="zh-CN" w:bidi="ar-SA"/>
        </w:rPr>
        <w:t>万元，主要用于单位医疗保险缴费和其它社会保障缴费支出。</w:t>
      </w:r>
      <w:r>
        <w:rPr>
          <w:rFonts w:hint="eastAsia" w:ascii="仿宋_GB2312" w:hAnsi="仿宋_GB2312" w:eastAsia="仿宋_GB2312" w:cs="仿宋_GB2312"/>
          <w:sz w:val="32"/>
          <w:szCs w:val="32"/>
        </w:rPr>
        <w:t>与上年相比</w:t>
      </w:r>
      <w:r>
        <w:rPr>
          <w:rFonts w:hint="eastAsia" w:ascii="仿宋_GB2312" w:hAnsi="仿宋_GB2312" w:cs="仿宋_GB2312"/>
          <w:sz w:val="32"/>
          <w:szCs w:val="32"/>
          <w:lang w:eastAsia="zh-CN"/>
        </w:rPr>
        <w:t>减少</w:t>
      </w:r>
      <w:r>
        <w:rPr>
          <w:rFonts w:hint="eastAsia" w:ascii="仿宋_GB2312" w:hAnsi="仿宋_GB2312" w:cs="仿宋_GB2312"/>
          <w:sz w:val="32"/>
          <w:szCs w:val="32"/>
          <w:u w:val="none"/>
          <w:lang w:val="en-US" w:eastAsia="zh-CN"/>
        </w:rPr>
        <w:t>5.59</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减少</w:t>
      </w:r>
      <w:r>
        <w:rPr>
          <w:rFonts w:hint="eastAsia" w:ascii="仿宋_GB2312" w:hAnsi="仿宋_GB2312" w:cs="仿宋_GB2312"/>
          <w:sz w:val="32"/>
          <w:szCs w:val="32"/>
          <w:lang w:val="en-US" w:eastAsia="zh-CN"/>
        </w:rPr>
        <w:t>41.53</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人员调动，工资</w:t>
      </w:r>
      <w:r>
        <w:rPr>
          <w:rFonts w:hint="eastAsia" w:ascii="仿宋_GB2312" w:hAnsi="仿宋_GB2312" w:cs="仿宋_GB2312"/>
          <w:sz w:val="32"/>
          <w:szCs w:val="32"/>
          <w:lang w:eastAsia="zh-CN"/>
        </w:rPr>
        <w:t>基数有</w:t>
      </w:r>
      <w:r>
        <w:rPr>
          <w:rFonts w:hint="eastAsia" w:ascii="仿宋_GB2312" w:hAnsi="仿宋_GB2312" w:eastAsia="仿宋_GB2312" w:cs="仿宋_GB2312"/>
          <w:sz w:val="32"/>
          <w:szCs w:val="32"/>
          <w:lang w:eastAsia="zh-CN"/>
        </w:rPr>
        <w:t>所</w:t>
      </w:r>
      <w:r>
        <w:rPr>
          <w:rFonts w:hint="eastAsia" w:ascii="仿宋_GB2312" w:hAnsi="仿宋_GB2312" w:cs="仿宋_GB2312"/>
          <w:sz w:val="32"/>
          <w:szCs w:val="32"/>
          <w:lang w:eastAsia="zh-CN"/>
        </w:rPr>
        <w:t>变动。</w:t>
      </w:r>
    </w:p>
    <w:p>
      <w:pPr>
        <w:pStyle w:val="12"/>
        <w:spacing w:line="360" w:lineRule="auto"/>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4.住房保障（类）支出19.</w:t>
      </w:r>
      <w:r>
        <w:rPr>
          <w:rFonts w:hint="eastAsia" w:ascii="仿宋_GB2312" w:hAnsi="仿宋_GB2312" w:cs="仿宋_GB2312"/>
          <w:kern w:val="2"/>
          <w:sz w:val="32"/>
          <w:szCs w:val="32"/>
          <w:lang w:val="en-US" w:eastAsia="zh-CN" w:bidi="ar-SA"/>
        </w:rPr>
        <w:t>99</w:t>
      </w:r>
      <w:r>
        <w:rPr>
          <w:rFonts w:hint="eastAsia" w:ascii="仿宋_GB2312" w:hAnsi="仿宋_GB2312" w:eastAsia="仿宋_GB2312" w:cs="仿宋_GB2312"/>
          <w:kern w:val="2"/>
          <w:sz w:val="32"/>
          <w:szCs w:val="32"/>
          <w:lang w:val="en-US" w:eastAsia="zh-CN" w:bidi="ar-SA"/>
        </w:rPr>
        <w:t>万元，主要用于单位住房公积金支出。</w:t>
      </w:r>
      <w:r>
        <w:rPr>
          <w:rFonts w:hint="eastAsia" w:ascii="仿宋_GB2312" w:hAnsi="仿宋_GB2312" w:eastAsia="仿宋_GB2312" w:cs="仿宋_GB2312"/>
          <w:sz w:val="32"/>
          <w:szCs w:val="32"/>
        </w:rPr>
        <w:t>与上年相比</w:t>
      </w:r>
      <w:r>
        <w:rPr>
          <w:rFonts w:hint="eastAsia" w:ascii="仿宋_GB2312" w:hAnsi="仿宋_GB2312" w:cs="仿宋_GB2312"/>
          <w:sz w:val="32"/>
          <w:szCs w:val="32"/>
          <w:lang w:eastAsia="zh-CN"/>
        </w:rPr>
        <w:t>增长</w:t>
      </w:r>
      <w:r>
        <w:rPr>
          <w:rFonts w:hint="eastAsia" w:ascii="仿宋_GB2312" w:hAnsi="仿宋_GB2312" w:cs="仿宋_GB2312"/>
          <w:sz w:val="32"/>
          <w:szCs w:val="32"/>
          <w:u w:val="none"/>
          <w:lang w:val="en-US" w:eastAsia="zh-CN"/>
        </w:rPr>
        <w:t>0.17</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增长</w:t>
      </w:r>
      <w:r>
        <w:rPr>
          <w:rFonts w:hint="eastAsia" w:ascii="仿宋_GB2312" w:hAnsi="仿宋_GB2312" w:cs="仿宋_GB2312"/>
          <w:sz w:val="32"/>
          <w:szCs w:val="32"/>
          <w:lang w:val="en-US" w:eastAsia="zh-CN"/>
        </w:rPr>
        <w:t>0.86</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人员调动，工资</w:t>
      </w:r>
      <w:r>
        <w:rPr>
          <w:rFonts w:hint="eastAsia" w:ascii="仿宋_GB2312" w:hAnsi="仿宋_GB2312" w:cs="仿宋_GB2312"/>
          <w:sz w:val="32"/>
          <w:szCs w:val="32"/>
          <w:lang w:eastAsia="zh-CN"/>
        </w:rPr>
        <w:t>基数有</w:t>
      </w:r>
      <w:r>
        <w:rPr>
          <w:rFonts w:hint="eastAsia" w:ascii="仿宋_GB2312" w:hAnsi="仿宋_GB2312" w:eastAsia="仿宋_GB2312" w:cs="仿宋_GB2312"/>
          <w:sz w:val="32"/>
          <w:szCs w:val="32"/>
          <w:lang w:eastAsia="zh-CN"/>
        </w:rPr>
        <w:t>所</w:t>
      </w:r>
      <w:r>
        <w:rPr>
          <w:rFonts w:hint="eastAsia" w:ascii="仿宋_GB2312" w:hAnsi="仿宋_GB2312" w:cs="仿宋_GB2312"/>
          <w:sz w:val="32"/>
          <w:szCs w:val="32"/>
          <w:lang w:eastAsia="zh-CN"/>
        </w:rPr>
        <w:t>变动。</w:t>
      </w:r>
    </w:p>
    <w:p>
      <w:pPr>
        <w:pStyle w:val="12"/>
        <w:spacing w:line="360" w:lineRule="auto"/>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结余分配0万元。</w:t>
      </w:r>
    </w:p>
    <w:p>
      <w:pPr>
        <w:pStyle w:val="12"/>
        <w:spacing w:line="360" w:lineRule="auto"/>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6</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结余分配</w:t>
      </w:r>
      <w:r>
        <w:rPr>
          <w:rFonts w:hint="eastAsia" w:ascii="仿宋_GB2312" w:hAnsi="仿宋_GB2312" w:cs="仿宋_GB2312"/>
          <w:sz w:val="32"/>
          <w:szCs w:val="32"/>
          <w:u w:val="none"/>
          <w:lang w:val="en-US" w:eastAsia="zh-CN"/>
        </w:rPr>
        <w:t>0</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p>
    <w:p>
      <w:pPr>
        <w:pStyle w:val="12"/>
        <w:spacing w:line="360" w:lineRule="auto"/>
        <w:ind w:firstLine="600"/>
        <w:rPr>
          <w:rFonts w:hint="eastAsia"/>
          <w:lang w:eastAsia="zh-CN"/>
        </w:rPr>
      </w:pPr>
      <w:r>
        <w:rPr>
          <w:rFonts w:hint="eastAsia" w:ascii="仿宋_GB2312" w:hAnsi="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年末结转和结余0万元。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二、收入决算情况说明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沁源县人民代表大会常务委员会</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三、支出决算情况说明</w:t>
      </w:r>
    </w:p>
    <w:p>
      <w:pPr>
        <w:keepNext w:val="0"/>
        <w:keepLines w:val="0"/>
        <w:pageBreakBefore w:val="0"/>
        <w:widowControl w:val="0"/>
        <w:kinsoku/>
        <w:wordWrap/>
        <w:overflowPunct/>
        <w:topLinePunct w:val="0"/>
        <w:bidi w:val="0"/>
        <w:adjustRightInd/>
        <w:spacing w:line="600" w:lineRule="exact"/>
        <w:ind w:left="160" w:leftChars="50" w:firstLine="480" w:firstLineChars="150"/>
        <w:textAlignment w:val="auto"/>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u w:val="none"/>
          <w:lang w:eastAsia="zh-CN"/>
        </w:rPr>
        <w:t>沁源县人民代表大会常务委员</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u w:val="none"/>
          <w:lang w:val="en-US" w:eastAsia="zh-CN"/>
        </w:rPr>
        <w:t>319.41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103.11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none"/>
          <w:lang w:val="en-US" w:eastAsia="zh-CN"/>
        </w:rPr>
        <w:t>24.4</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沁源县人民代表大会常务委员会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财政拨款收、支总决算</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万元，与上年相比收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30.23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7.71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，支出减少</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人员变动，经费有所增减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五、财政拨款支出决算情况说明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财政拨款支出决算反映的是一般公共预算和政府性基金预算财政拨款支出的总体情况，既包括使用本年从本级财政取得的拨款发生的支出，也包括使用上年度财政拨款结转和结余资金发生的支出。</w:t>
      </w:r>
      <w:r>
        <w:rPr>
          <w:rFonts w:hint="eastAsia" w:ascii="仿宋_GB2312" w:hAnsi="仿宋_GB2312" w:eastAsia="仿宋_GB2312" w:cs="仿宋_GB2312"/>
          <w:kern w:val="2"/>
          <w:sz w:val="32"/>
          <w:szCs w:val="32"/>
          <w:lang w:val="en-US" w:eastAsia="zh-CN" w:bidi="ar-SA"/>
        </w:rPr>
        <w:t>沁源县人民代表大会常务委员会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年财政拨款支出</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u w:val="none"/>
          <w:lang w:val="en-US" w:eastAsia="zh-CN"/>
        </w:rPr>
        <w:t>100</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u w:val="none"/>
          <w:lang w:val="en-US" w:eastAsia="zh-CN"/>
        </w:rPr>
        <w:t>1.77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人员变动，经费有所增减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沁源县人民代表大会常务委员会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年度财政拨款支出年初预算为</w:t>
      </w:r>
      <w:r>
        <w:rPr>
          <w:rFonts w:hint="eastAsia" w:ascii="仿宋_GB2312" w:hAnsi="仿宋_GB2312" w:eastAsia="仿宋_GB2312" w:cs="仿宋_GB2312"/>
          <w:sz w:val="32"/>
          <w:szCs w:val="32"/>
          <w:lang w:val="en-US" w:eastAsia="zh-CN"/>
        </w:rPr>
        <w:t>441.48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u w:val="none"/>
          <w:lang w:val="en-US" w:eastAsia="zh-CN"/>
        </w:rPr>
        <w:t>95.71</w:t>
      </w:r>
      <w:r>
        <w:rPr>
          <w:rFonts w:hint="eastAsia" w:ascii="仿宋_GB2312" w:hAnsi="仿宋_GB2312" w:eastAsia="仿宋_GB2312" w:cs="仿宋_GB2312"/>
          <w:sz w:val="32"/>
          <w:szCs w:val="32"/>
        </w:rPr>
        <w:t>%。决算数小于年初预算的主要原因是</w:t>
      </w:r>
      <w:r>
        <w:rPr>
          <w:rFonts w:hint="eastAsia" w:ascii="仿宋_GB2312" w:hAnsi="仿宋_GB2312" w:eastAsia="仿宋_GB2312" w:cs="仿宋_GB2312"/>
          <w:sz w:val="32"/>
          <w:szCs w:val="32"/>
          <w:lang w:eastAsia="zh-CN"/>
        </w:rPr>
        <w:t>人员变动，支出减少。其中</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（一）一般公共服务（类）</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人大事务（款）行政运行（项）。年初预算为</w:t>
      </w:r>
      <w:r>
        <w:rPr>
          <w:rFonts w:hint="eastAsia" w:ascii="仿宋_GB2312" w:hAnsi="仿宋_GB2312" w:eastAsia="仿宋_GB2312" w:cs="仿宋_GB2312"/>
          <w:sz w:val="32"/>
          <w:szCs w:val="32"/>
          <w:lang w:val="en-US" w:eastAsia="zh-CN"/>
        </w:rPr>
        <w:t>370.5</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362.8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97.92</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人员变动，支出有所变动</w:t>
      </w:r>
      <w:r>
        <w:rPr>
          <w:rFonts w:hint="eastAsia" w:ascii="仿宋_GB2312" w:hAnsi="仿宋_GB2312" w:eastAsia="仿宋_GB2312" w:cs="仿宋_GB2312"/>
          <w:sz w:val="32"/>
          <w:szCs w:val="32"/>
        </w:rPr>
        <w:t>。</w:t>
      </w:r>
    </w:p>
    <w:p>
      <w:pPr>
        <w:pStyle w:val="12"/>
        <w:spacing w:line="360" w:lineRule="auto"/>
        <w:ind w:firstLine="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2.组织事务。</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40.38</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扶贫工作队撤出帮扶，不再支付。</w:t>
      </w:r>
    </w:p>
    <w:p>
      <w:pPr>
        <w:pStyle w:val="12"/>
        <w:spacing w:line="360" w:lineRule="auto"/>
        <w:ind w:firstLine="600"/>
        <w:rPr>
          <w:rFonts w:hint="default"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（二）社会保障和就业（类）</w:t>
      </w:r>
    </w:p>
    <w:p>
      <w:pPr>
        <w:pStyle w:val="12"/>
        <w:spacing w:line="360" w:lineRule="auto"/>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．社会保障和就业（类），主要用于单位基本养老保险缴费支出。</w:t>
      </w:r>
      <w:r>
        <w:rPr>
          <w:rFonts w:hint="eastAsia" w:ascii="仿宋_GB2312" w:hAnsi="仿宋_GB2312" w:eastAsia="仿宋_GB2312" w:cs="仿宋_GB2312"/>
          <w:sz w:val="32"/>
          <w:szCs w:val="32"/>
        </w:rPr>
        <w:t>年初预算为</w:t>
      </w:r>
      <w:r>
        <w:rPr>
          <w:rFonts w:hint="eastAsia" w:ascii="仿宋_GB2312" w:hAnsi="仿宋_GB2312" w:cs="仿宋_GB2312"/>
          <w:sz w:val="32"/>
          <w:szCs w:val="32"/>
          <w:lang w:val="en-US" w:eastAsia="zh-CN"/>
        </w:rPr>
        <w:t>30.54</w:t>
      </w:r>
      <w:r>
        <w:rPr>
          <w:rFonts w:hint="eastAsia" w:ascii="仿宋_GB2312" w:hAnsi="仿宋_GB2312" w:eastAsia="仿宋_GB2312" w:cs="仿宋_GB2312"/>
          <w:sz w:val="32"/>
          <w:szCs w:val="32"/>
        </w:rPr>
        <w:t>万元，支出决算为</w:t>
      </w:r>
      <w:r>
        <w:rPr>
          <w:rFonts w:hint="eastAsia" w:ascii="仿宋_GB2312" w:hAnsi="仿宋_GB2312" w:cs="仿宋_GB2312"/>
          <w:sz w:val="32"/>
          <w:szCs w:val="32"/>
          <w:lang w:val="en-US" w:eastAsia="zh-CN"/>
        </w:rPr>
        <w:t>28.63</w:t>
      </w:r>
      <w:r>
        <w:rPr>
          <w:rFonts w:hint="eastAsia" w:ascii="仿宋_GB2312" w:hAnsi="仿宋_GB2312" w:eastAsia="仿宋_GB2312" w:cs="仿宋_GB2312"/>
          <w:sz w:val="32"/>
          <w:szCs w:val="32"/>
        </w:rPr>
        <w:t>万元，完成年初预算的</w:t>
      </w:r>
      <w:r>
        <w:rPr>
          <w:rFonts w:hint="eastAsia" w:ascii="仿宋_GB2312" w:hAnsi="仿宋_GB2312" w:cs="仿宋_GB2312"/>
          <w:sz w:val="32"/>
          <w:szCs w:val="32"/>
          <w:lang w:val="en-US" w:eastAsia="zh-CN"/>
        </w:rPr>
        <w:t>93.75</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人员变动，支出有所变动</w:t>
      </w:r>
      <w:r>
        <w:rPr>
          <w:rFonts w:hint="eastAsia" w:ascii="仿宋_GB2312" w:hAnsi="仿宋_GB2312" w:eastAsia="仿宋_GB2312" w:cs="仿宋_GB2312"/>
          <w:sz w:val="32"/>
          <w:szCs w:val="32"/>
        </w:rPr>
        <w:t>。</w:t>
      </w:r>
    </w:p>
    <w:p>
      <w:pPr>
        <w:pStyle w:val="12"/>
        <w:spacing w:line="360" w:lineRule="auto"/>
        <w:ind w:firstLine="600"/>
        <w:rPr>
          <w:rFonts w:hint="default"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（三）卫生健康（类）</w:t>
      </w:r>
    </w:p>
    <w:p>
      <w:pPr>
        <w:pStyle w:val="12"/>
        <w:spacing w:line="360" w:lineRule="auto"/>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行政单位医疗</w:t>
      </w:r>
      <w:r>
        <w:rPr>
          <w:rFonts w:hint="eastAsia" w:ascii="仿宋_GB2312" w:hAnsi="仿宋_GB2312" w:eastAsia="仿宋_GB2312" w:cs="仿宋_GB2312"/>
          <w:kern w:val="2"/>
          <w:sz w:val="32"/>
          <w:szCs w:val="32"/>
          <w:lang w:val="en-US" w:eastAsia="zh-CN" w:bidi="ar-SA"/>
        </w:rPr>
        <w:t>，主要用于单位医疗保险缴费和其它社会保障缴费支出。</w:t>
      </w:r>
      <w:r>
        <w:rPr>
          <w:rFonts w:hint="eastAsia" w:ascii="仿宋_GB2312" w:hAnsi="仿宋_GB2312" w:eastAsia="仿宋_GB2312" w:cs="仿宋_GB2312"/>
          <w:sz w:val="32"/>
          <w:szCs w:val="32"/>
        </w:rPr>
        <w:t>年初预算为</w:t>
      </w:r>
      <w:r>
        <w:rPr>
          <w:rFonts w:hint="eastAsia" w:ascii="仿宋_GB2312" w:hAnsi="仿宋_GB2312" w:cs="仿宋_GB2312"/>
          <w:sz w:val="32"/>
          <w:szCs w:val="32"/>
          <w:lang w:val="en-US" w:eastAsia="zh-CN"/>
        </w:rPr>
        <w:t>12.92</w:t>
      </w:r>
      <w:r>
        <w:rPr>
          <w:rFonts w:hint="eastAsia" w:ascii="仿宋_GB2312" w:hAnsi="仿宋_GB2312" w:eastAsia="仿宋_GB2312" w:cs="仿宋_GB2312"/>
          <w:sz w:val="32"/>
          <w:szCs w:val="32"/>
        </w:rPr>
        <w:t>万元，支出决算</w:t>
      </w:r>
      <w:r>
        <w:rPr>
          <w:rFonts w:hint="eastAsia" w:ascii="仿宋_GB2312" w:hAnsi="仿宋_GB2312" w:cs="仿宋_GB2312"/>
          <w:sz w:val="32"/>
          <w:szCs w:val="32"/>
          <w:lang w:val="en-US" w:eastAsia="zh-CN"/>
        </w:rPr>
        <w:t>7.87</w:t>
      </w:r>
      <w:r>
        <w:rPr>
          <w:rFonts w:hint="eastAsia" w:ascii="仿宋_GB2312" w:hAnsi="仿宋_GB2312" w:eastAsia="仿宋_GB2312" w:cs="仿宋_GB2312"/>
          <w:sz w:val="32"/>
          <w:szCs w:val="32"/>
        </w:rPr>
        <w:t>万元，完成年初预算的</w:t>
      </w:r>
      <w:r>
        <w:rPr>
          <w:rFonts w:hint="eastAsia" w:ascii="仿宋_GB2312" w:hAnsi="仿宋_GB2312" w:cs="仿宋_GB2312"/>
          <w:sz w:val="32"/>
          <w:szCs w:val="32"/>
          <w:lang w:val="en-US" w:eastAsia="zh-CN"/>
        </w:rPr>
        <w:t>60.91</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人员变动，支出有所变动</w:t>
      </w:r>
      <w:r>
        <w:rPr>
          <w:rFonts w:hint="eastAsia" w:ascii="仿宋_GB2312" w:hAnsi="仿宋_GB2312" w:eastAsia="仿宋_GB2312" w:cs="仿宋_GB2312"/>
          <w:sz w:val="32"/>
          <w:szCs w:val="32"/>
        </w:rPr>
        <w:t>。</w:t>
      </w:r>
    </w:p>
    <w:p>
      <w:pPr>
        <w:pStyle w:val="12"/>
        <w:spacing w:line="360" w:lineRule="auto"/>
        <w:ind w:firstLine="6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（四）住房保障（类）</w:t>
      </w:r>
    </w:p>
    <w:p>
      <w:pPr>
        <w:pStyle w:val="12"/>
        <w:spacing w:line="360" w:lineRule="auto"/>
        <w:ind w:firstLine="600"/>
        <w:rPr>
          <w:rFonts w:hint="eastAsia" w:ascii="仿宋_GB2312" w:hAnsi="仿宋_GB2312" w:eastAsia="仿宋_GB2312" w:cs="仿宋_GB2312"/>
          <w:sz w:val="32"/>
          <w:szCs w:val="32"/>
        </w:rPr>
      </w:pP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.住房保障（类），主要用于单位住房公积金支出。</w:t>
      </w:r>
      <w:r>
        <w:rPr>
          <w:rFonts w:hint="eastAsia" w:ascii="仿宋_GB2312" w:hAnsi="仿宋_GB2312" w:eastAsia="仿宋_GB2312" w:cs="仿宋_GB2312"/>
          <w:sz w:val="32"/>
          <w:szCs w:val="32"/>
        </w:rPr>
        <w:t>年初预算为</w:t>
      </w:r>
      <w:r>
        <w:rPr>
          <w:rFonts w:hint="eastAsia" w:ascii="仿宋_GB2312" w:hAnsi="仿宋_GB2312" w:cs="仿宋_GB2312"/>
          <w:sz w:val="32"/>
          <w:szCs w:val="32"/>
          <w:lang w:val="en-US" w:eastAsia="zh-CN"/>
        </w:rPr>
        <w:t>19.51</w:t>
      </w:r>
      <w:r>
        <w:rPr>
          <w:rFonts w:hint="eastAsia" w:ascii="仿宋_GB2312" w:hAnsi="仿宋_GB2312" w:eastAsia="仿宋_GB2312" w:cs="仿宋_GB2312"/>
          <w:sz w:val="32"/>
          <w:szCs w:val="32"/>
        </w:rPr>
        <w:t>万元，支出决算为</w:t>
      </w:r>
      <w:r>
        <w:rPr>
          <w:rFonts w:hint="eastAsia" w:ascii="仿宋_GB2312" w:hAnsi="仿宋_GB2312" w:cs="仿宋_GB2312"/>
          <w:sz w:val="32"/>
          <w:szCs w:val="32"/>
          <w:lang w:val="en-US" w:eastAsia="zh-CN"/>
        </w:rPr>
        <w:t>19.99</w:t>
      </w:r>
      <w:r>
        <w:rPr>
          <w:rFonts w:hint="eastAsia" w:ascii="仿宋_GB2312" w:hAnsi="仿宋_GB2312" w:eastAsia="仿宋_GB2312" w:cs="仿宋_GB2312"/>
          <w:sz w:val="32"/>
          <w:szCs w:val="32"/>
        </w:rPr>
        <w:t>万元，完成年初预算的</w:t>
      </w:r>
      <w:r>
        <w:rPr>
          <w:rFonts w:hint="eastAsia" w:ascii="仿宋_GB2312" w:hAnsi="仿宋_GB2312" w:cs="仿宋_GB2312"/>
          <w:sz w:val="32"/>
          <w:szCs w:val="32"/>
          <w:lang w:val="en-US" w:eastAsia="zh-CN"/>
        </w:rPr>
        <w:t>102.46</w:t>
      </w:r>
      <w:r>
        <w:rPr>
          <w:rFonts w:hint="eastAsia" w:ascii="仿宋_GB2312" w:hAnsi="仿宋_GB2312" w:eastAsia="仿宋_GB2312" w:cs="仿宋_GB2312"/>
          <w:sz w:val="32"/>
          <w:szCs w:val="32"/>
        </w:rPr>
        <w:t>%。决算数</w:t>
      </w:r>
      <w:r>
        <w:rPr>
          <w:rFonts w:hint="eastAsia" w:ascii="仿宋_GB2312" w:hAnsi="仿宋_GB2312" w:cs="仿宋_GB2312"/>
          <w:sz w:val="32"/>
          <w:szCs w:val="32"/>
          <w:lang w:eastAsia="zh-CN"/>
        </w:rPr>
        <w:t>大于</w:t>
      </w:r>
      <w:r>
        <w:rPr>
          <w:rFonts w:hint="eastAsia" w:ascii="仿宋_GB2312" w:hAnsi="仿宋_GB2312" w:eastAsia="仿宋_GB2312" w:cs="仿宋_GB2312"/>
          <w:sz w:val="32"/>
          <w:szCs w:val="32"/>
        </w:rPr>
        <w:t>预算数的主要原因</w:t>
      </w:r>
      <w:r>
        <w:rPr>
          <w:rFonts w:hint="eastAsia" w:ascii="仿宋_GB2312" w:hAnsi="仿宋_GB2312" w:eastAsia="仿宋_GB2312" w:cs="仿宋_GB2312"/>
          <w:sz w:val="32"/>
          <w:szCs w:val="32"/>
          <w:lang w:eastAsia="zh-CN"/>
        </w:rPr>
        <w:t>人员变动，支出有所变动</w:t>
      </w:r>
      <w:r>
        <w:rPr>
          <w:rFonts w:hint="eastAsia" w:ascii="仿宋_GB2312" w:hAnsi="仿宋_GB2312" w:eastAsia="仿宋_GB2312" w:cs="仿宋_GB2312"/>
          <w:sz w:val="32"/>
          <w:szCs w:val="32"/>
        </w:rPr>
        <w:t>。</w:t>
      </w:r>
    </w:p>
    <w:p>
      <w:pPr>
        <w:pStyle w:val="12"/>
        <w:spacing w:line="360" w:lineRule="auto"/>
        <w:ind w:firstLine="600"/>
        <w:rPr>
          <w:rFonts w:hint="eastAsia" w:ascii="仿宋_GB2312" w:hAnsi="仿宋_GB2312" w:eastAsia="仿宋_GB2312" w:cs="仿宋_GB2312"/>
          <w:sz w:val="32"/>
          <w:szCs w:val="32"/>
        </w:rPr>
      </w:pPr>
      <w:r>
        <w:rPr>
          <w:rFonts w:hint="eastAsia" w:ascii="黑体" w:hAnsi="黑体" w:eastAsia="黑体" w:cs="黑体"/>
          <w:sz w:val="32"/>
          <w:szCs w:val="32"/>
        </w:rPr>
        <w:t>六、一般公共预算财政拨款支出决算情况说明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Pr>
          <w:rFonts w:hint="eastAsia" w:ascii="仿宋_GB2312" w:hAnsi="仿宋_GB2312" w:eastAsia="仿宋_GB2312" w:cs="仿宋_GB2312"/>
          <w:sz w:val="32"/>
          <w:szCs w:val="32"/>
          <w:u w:val="none"/>
          <w:lang w:eastAsia="zh-CN"/>
        </w:rPr>
        <w:t>沁源县人民代表大会常务委员会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u w:val="none"/>
          <w:lang w:val="en-US" w:eastAsia="zh-CN"/>
        </w:rPr>
        <w:t>422.52</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支出减少</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人员变动，经费有所增减</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七、一般公共预算财政拨款基本支出决算情况说明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沁源县人民代表大会常务委员会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年度一般公共预算财政拨款基本支出万元，其中：</w:t>
      </w:r>
    </w:p>
    <w:p>
      <w:pPr>
        <w:keepNext w:val="0"/>
        <w:keepLines w:val="0"/>
        <w:pageBreakBefore w:val="0"/>
        <w:widowControl w:val="0"/>
        <w:numPr>
          <w:ilvl w:val="0"/>
          <w:numId w:val="1"/>
        </w:numPr>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人员经费</w:t>
      </w:r>
      <w:r>
        <w:rPr>
          <w:rFonts w:hint="eastAsia" w:ascii="楷体_GB2312" w:hAnsi="楷体_GB2312" w:eastAsia="楷体_GB2312" w:cs="楷体_GB2312"/>
          <w:sz w:val="32"/>
          <w:szCs w:val="32"/>
          <w:lang w:val="en-US" w:eastAsia="zh-CN"/>
        </w:rPr>
        <w:t>290.46</w:t>
      </w:r>
      <w:r>
        <w:rPr>
          <w:rFonts w:hint="eastAsia" w:ascii="楷体_GB2312" w:hAnsi="楷体_GB2312" w:eastAsia="楷体_GB2312" w:cs="楷体_GB2312"/>
          <w:sz w:val="32"/>
          <w:szCs w:val="32"/>
        </w:rPr>
        <w:t>万元。</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u w:val="none"/>
          <w:lang w:val="en-US" w:eastAsia="zh-CN"/>
        </w:rPr>
        <w:t>110.42</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u w:val="none"/>
          <w:lang w:val="en-US" w:eastAsia="zh-CN"/>
        </w:rPr>
        <w:t>57.97</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u w:val="none"/>
          <w:lang w:val="en-US" w:eastAsia="zh-CN"/>
        </w:rPr>
        <w:t>7.66</w:t>
      </w:r>
      <w:r>
        <w:rPr>
          <w:rFonts w:hint="eastAsia" w:ascii="仿宋_GB2312" w:hAnsi="仿宋_GB2312" w:eastAsia="仿宋_GB2312" w:cs="仿宋_GB2312"/>
          <w:sz w:val="32"/>
          <w:szCs w:val="32"/>
        </w:rPr>
        <w:t>万元、社会保障缴费</w:t>
      </w:r>
      <w:r>
        <w:rPr>
          <w:rFonts w:hint="eastAsia" w:ascii="仿宋_GB2312" w:hAnsi="仿宋_GB2312" w:eastAsia="仿宋_GB2312" w:cs="仿宋_GB2312"/>
          <w:sz w:val="32"/>
          <w:szCs w:val="32"/>
          <w:u w:val="none"/>
          <w:lang w:val="en-US" w:eastAsia="zh-CN"/>
        </w:rPr>
        <w:t>36.5</w:t>
      </w:r>
      <w:r>
        <w:rPr>
          <w:rFonts w:hint="eastAsia" w:ascii="仿宋_GB2312" w:hAnsi="仿宋_GB2312" w:eastAsia="仿宋_GB2312" w:cs="仿宋_GB2312"/>
          <w:sz w:val="32"/>
          <w:szCs w:val="32"/>
        </w:rPr>
        <w:t>万元、绩效工资</w:t>
      </w:r>
      <w:r>
        <w:rPr>
          <w:rFonts w:hint="eastAsia" w:ascii="仿宋_GB2312" w:hAnsi="仿宋_GB2312" w:eastAsia="仿宋_GB2312" w:cs="仿宋_GB2312"/>
          <w:sz w:val="32"/>
          <w:szCs w:val="32"/>
          <w:u w:val="none"/>
          <w:lang w:val="en-US" w:eastAsia="zh-CN"/>
        </w:rPr>
        <w:t>15.72</w:t>
      </w:r>
      <w:r>
        <w:rPr>
          <w:rFonts w:hint="eastAsia" w:ascii="仿宋_GB2312" w:hAnsi="仿宋_GB2312" w:eastAsia="仿宋_GB2312" w:cs="仿宋_GB2312"/>
          <w:sz w:val="32"/>
          <w:szCs w:val="32"/>
        </w:rPr>
        <w:t>万元、奖励金</w:t>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抚恤金</w:t>
      </w:r>
      <w:r>
        <w:rPr>
          <w:rFonts w:hint="eastAsia" w:ascii="仿宋_GB2312" w:hAnsi="仿宋_GB2312" w:eastAsia="仿宋_GB2312" w:cs="仿宋_GB2312"/>
          <w:sz w:val="32"/>
          <w:szCs w:val="32"/>
          <w:lang w:val="en-US" w:eastAsia="zh-CN"/>
        </w:rPr>
        <w:t>40.3万元、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u w:val="none"/>
          <w:lang w:val="en-US" w:eastAsia="zh-CN"/>
        </w:rPr>
        <w:t>19.99</w:t>
      </w:r>
      <w:r>
        <w:rPr>
          <w:rFonts w:hint="eastAsia" w:ascii="仿宋_GB2312" w:hAnsi="仿宋_GB2312" w:eastAsia="仿宋_GB2312" w:cs="仿宋_GB2312"/>
          <w:sz w:val="32"/>
          <w:szCs w:val="32"/>
        </w:rPr>
        <w:t>万元。</w:t>
      </w:r>
    </w:p>
    <w:p>
      <w:pPr>
        <w:keepNext w:val="0"/>
        <w:keepLines w:val="0"/>
        <w:pageBreakBefore w:val="0"/>
        <w:widowControl w:val="0"/>
        <w:numPr>
          <w:ilvl w:val="0"/>
          <w:numId w:val="1"/>
        </w:numPr>
        <w:kinsoku/>
        <w:wordWrap/>
        <w:overflowPunct/>
        <w:topLinePunct w:val="0"/>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公用经费</w:t>
      </w:r>
      <w:r>
        <w:rPr>
          <w:rFonts w:hint="eastAsia" w:ascii="楷体_GB2312" w:hAnsi="楷体_GB2312" w:eastAsia="楷体_GB2312" w:cs="楷体_GB2312"/>
          <w:sz w:val="32"/>
          <w:szCs w:val="32"/>
          <w:lang w:val="en-US" w:eastAsia="zh-CN"/>
        </w:rPr>
        <w:t>28.95</w:t>
      </w:r>
      <w:r>
        <w:rPr>
          <w:rFonts w:hint="eastAsia" w:ascii="楷体_GB2312" w:hAnsi="楷体_GB2312" w:eastAsia="楷体_GB2312" w:cs="楷体_GB2312"/>
          <w:sz w:val="32"/>
          <w:szCs w:val="32"/>
        </w:rPr>
        <w:t>万元。</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u w:val="none"/>
          <w:lang w:val="en-US" w:eastAsia="zh-CN"/>
        </w:rPr>
        <w:t>7.25</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u w:val="none"/>
          <w:lang w:val="en-US" w:eastAsia="zh-CN"/>
        </w:rPr>
        <w:t>0.91</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u w:val="none"/>
          <w:lang w:val="en-US" w:eastAsia="zh-CN"/>
        </w:rPr>
        <w:t>0.27</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u w:val="none"/>
          <w:lang w:val="en-US" w:eastAsia="zh-CN"/>
        </w:rPr>
        <w:t>4.23</w:t>
      </w:r>
      <w:r>
        <w:rPr>
          <w:rFonts w:hint="eastAsia" w:ascii="仿宋_GB2312" w:hAnsi="仿宋_GB2312" w:eastAsia="仿宋_GB2312" w:cs="仿宋_GB2312"/>
          <w:sz w:val="32"/>
          <w:szCs w:val="32"/>
        </w:rPr>
        <w:t>万元、会议费</w:t>
      </w:r>
      <w:r>
        <w:rPr>
          <w:rFonts w:hint="eastAsia" w:ascii="仿宋_GB2312" w:hAnsi="仿宋_GB2312" w:eastAsia="仿宋_GB2312" w:cs="仿宋_GB2312"/>
          <w:sz w:val="32"/>
          <w:szCs w:val="32"/>
          <w:u w:val="none"/>
          <w:lang w:val="en-US" w:eastAsia="zh-CN"/>
        </w:rPr>
        <w:t>0.7</w:t>
      </w:r>
      <w:r>
        <w:rPr>
          <w:rFonts w:hint="eastAsia" w:ascii="仿宋_GB2312" w:hAnsi="仿宋_GB2312" w:eastAsia="仿宋_GB2312" w:cs="仿宋_GB2312"/>
          <w:sz w:val="32"/>
          <w:szCs w:val="32"/>
        </w:rPr>
        <w:t>万元、其他交通费用</w:t>
      </w:r>
      <w:r>
        <w:rPr>
          <w:rFonts w:hint="eastAsia" w:ascii="仿宋_GB2312" w:hAnsi="仿宋_GB2312" w:eastAsia="仿宋_GB2312" w:cs="仿宋_GB2312"/>
          <w:sz w:val="32"/>
          <w:szCs w:val="32"/>
          <w:u w:val="none"/>
          <w:lang w:val="en-US" w:eastAsia="zh-CN"/>
        </w:rPr>
        <w:t>15.06</w:t>
      </w:r>
      <w:r>
        <w:rPr>
          <w:rFonts w:hint="eastAsia" w:ascii="仿宋_GB2312" w:hAnsi="仿宋_GB2312" w:eastAsia="仿宋_GB2312" w:cs="仿宋_GB2312"/>
          <w:sz w:val="32"/>
          <w:szCs w:val="32"/>
        </w:rPr>
        <w:t>万元、办公设备购置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0.53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八、一般公共预算财政拨款“三公”经费、会议费、培训费支出情况说明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沁源县人民代表大会常务委员会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年度一般公共预算拨款安排的“三公”经费决算支出中，因公出国（境）费支出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万元，占“三公”经费的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%；公务用车购置及运行费支出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万元，占“三公”经费的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%；公务接待费支出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万元，占“三公”经费的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%。具体情况如下：</w:t>
      </w:r>
    </w:p>
    <w:p>
      <w:pPr>
        <w:keepNext w:val="0"/>
        <w:keepLines w:val="0"/>
        <w:pageBreakBefore w:val="0"/>
        <w:widowControl w:val="0"/>
        <w:numPr>
          <w:ilvl w:val="0"/>
          <w:numId w:val="2"/>
        </w:numPr>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因公出国（境）费决算支出</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公务用车购置及运行费支出</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公务接待费</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p>
    <w:p>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沁源县人民代表大会常务委员会2021</w:t>
      </w:r>
      <w:r>
        <w:rPr>
          <w:rFonts w:hint="eastAsia" w:ascii="仿宋_GB2312" w:hAnsi="仿宋_GB2312" w:eastAsia="仿宋_GB2312" w:cs="仿宋_GB2312"/>
          <w:sz w:val="32"/>
          <w:szCs w:val="32"/>
        </w:rPr>
        <w:t>年度一般公共预算拨款安排的会议费决算支出</w:t>
      </w:r>
      <w:r>
        <w:rPr>
          <w:rFonts w:hint="eastAsia" w:ascii="仿宋_GB2312" w:hAnsi="仿宋_GB2312" w:eastAsia="仿宋_GB2312" w:cs="仿宋_GB2312"/>
          <w:sz w:val="32"/>
          <w:szCs w:val="32"/>
          <w:u w:val="none"/>
          <w:lang w:val="en-US" w:eastAsia="zh-CN"/>
        </w:rPr>
        <w:t>0.7</w:t>
      </w:r>
      <w:r>
        <w:rPr>
          <w:rFonts w:hint="eastAsia" w:ascii="仿宋_GB2312" w:hAnsi="仿宋_GB2312" w:eastAsia="仿宋_GB2312" w:cs="仿宋_GB2312"/>
          <w:sz w:val="32"/>
          <w:szCs w:val="32"/>
        </w:rPr>
        <w:t>万元，比上年决算减少</w:t>
      </w:r>
      <w:r>
        <w:rPr>
          <w:rFonts w:hint="eastAsia" w:ascii="仿宋_GB2312" w:hAnsi="仿宋_GB2312" w:eastAsia="仿宋_GB2312" w:cs="仿宋_GB2312"/>
          <w:sz w:val="32"/>
          <w:szCs w:val="32"/>
          <w:lang w:val="en-US" w:eastAsia="zh-CN"/>
        </w:rPr>
        <w:t>3.87</w:t>
      </w:r>
      <w:r>
        <w:rPr>
          <w:rFonts w:hint="eastAsia" w:ascii="仿宋_GB2312" w:hAnsi="仿宋_GB2312" w:eastAsia="仿宋_GB2312" w:cs="仿宋_GB2312"/>
          <w:sz w:val="32"/>
          <w:szCs w:val="32"/>
        </w:rPr>
        <w:t>万元，主要原因为</w:t>
      </w:r>
      <w:r>
        <w:rPr>
          <w:rFonts w:hint="eastAsia" w:ascii="仿宋_GB2312" w:hAnsi="仿宋_GB2312" w:eastAsia="仿宋_GB2312" w:cs="仿宋_GB2312"/>
          <w:sz w:val="32"/>
          <w:szCs w:val="32"/>
          <w:lang w:val="en-US" w:eastAsia="zh-CN"/>
        </w:rPr>
        <w:t>2020因疫情管控</w:t>
      </w:r>
      <w:r>
        <w:rPr>
          <w:rFonts w:hint="eastAsia" w:ascii="仿宋_GB2312" w:hAnsi="仿宋_GB2312" w:eastAsia="仿宋_GB2312" w:cs="仿宋_GB2312"/>
          <w:kern w:val="2"/>
          <w:sz w:val="32"/>
          <w:szCs w:val="32"/>
          <w:lang w:val="en-US" w:eastAsia="zh-CN" w:bidi="ar-SA"/>
        </w:rPr>
        <w:t>，长治市第十四届人民代表大会第五次全体会议在沁源县设置分会场，实行食宿闭环管理，规模较大，今年召开会议规模小，时间短。</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年度全年召开会议</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rPr>
        <w:t>个，参加会议</w:t>
      </w:r>
      <w:r>
        <w:rPr>
          <w:rFonts w:hint="eastAsia" w:ascii="仿宋_GB2312" w:hAnsi="仿宋_GB2312" w:eastAsia="仿宋_GB2312" w:cs="仿宋_GB2312"/>
          <w:sz w:val="32"/>
          <w:szCs w:val="32"/>
          <w:u w:val="none"/>
          <w:lang w:val="en-US" w:eastAsia="zh-CN"/>
        </w:rPr>
        <w:t>85</w:t>
      </w:r>
      <w:r>
        <w:rPr>
          <w:rFonts w:hint="eastAsia" w:ascii="仿宋_GB2312" w:hAnsi="仿宋_GB2312" w:eastAsia="仿宋_GB2312" w:cs="仿宋_GB2312"/>
          <w:sz w:val="32"/>
          <w:szCs w:val="32"/>
        </w:rPr>
        <w:t>人次。主要为召</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kern w:val="2"/>
          <w:sz w:val="32"/>
          <w:szCs w:val="32"/>
          <w:lang w:val="en-US" w:eastAsia="zh-CN" w:bidi="ar-SA"/>
        </w:rPr>
        <w:t>县人大常委会第一次会议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沁源县人民代表大会常务委员会2021</w:t>
      </w:r>
      <w:r>
        <w:rPr>
          <w:rFonts w:hint="eastAsia" w:ascii="仿宋_GB2312" w:hAnsi="仿宋_GB2312" w:eastAsia="仿宋_GB2312" w:cs="仿宋_GB2312"/>
          <w:sz w:val="32"/>
          <w:szCs w:val="32"/>
        </w:rPr>
        <w:t>年度一般公共预算拨款安排的培训费决算支出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九、政府性基金预算财政拨款收入支出决算情况说明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eastAsia="zh-CN"/>
        </w:rPr>
        <w:t>沁源县人民代表大会常务委员会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年政府性基金预算财政拨款年初结转和结余</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万元，本年收入决算</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万元，本年支出决算</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十、国有资本经营预算财政拨款支出决算情况说明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我单位无国有资本经营预算财政拨款支出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十一、机关运行经费支出决算情况说明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年本部门机关运行经费支出</w:t>
      </w:r>
      <w:r>
        <w:rPr>
          <w:rFonts w:hint="eastAsia" w:ascii="仿宋_GB2312" w:hAnsi="仿宋_GB2312" w:eastAsia="仿宋_GB2312" w:cs="仿宋_GB2312"/>
          <w:sz w:val="32"/>
          <w:szCs w:val="32"/>
          <w:u w:val="none"/>
          <w:lang w:val="en-US" w:eastAsia="zh-CN"/>
        </w:rPr>
        <w:t>28.95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u w:val="none"/>
          <w:lang w:val="en-US" w:eastAsia="zh-CN"/>
        </w:rPr>
        <w:t>7.25</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u w:val="none"/>
          <w:lang w:val="en-US" w:eastAsia="zh-CN"/>
        </w:rPr>
        <w:t>0.91</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u w:val="none"/>
          <w:lang w:val="en-US" w:eastAsia="zh-CN"/>
        </w:rPr>
        <w:t>0.27</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u w:val="none"/>
          <w:lang w:val="en-US" w:eastAsia="zh-CN"/>
        </w:rPr>
        <w:t>4.23</w:t>
      </w:r>
      <w:r>
        <w:rPr>
          <w:rFonts w:hint="eastAsia" w:ascii="仿宋_GB2312" w:hAnsi="仿宋_GB2312" w:eastAsia="仿宋_GB2312" w:cs="仿宋_GB2312"/>
          <w:sz w:val="32"/>
          <w:szCs w:val="32"/>
        </w:rPr>
        <w:t>万元、会议费</w:t>
      </w:r>
      <w:r>
        <w:rPr>
          <w:rFonts w:hint="eastAsia" w:ascii="仿宋_GB2312" w:hAnsi="仿宋_GB2312" w:eastAsia="仿宋_GB2312" w:cs="仿宋_GB2312"/>
          <w:sz w:val="32"/>
          <w:szCs w:val="32"/>
          <w:u w:val="none"/>
          <w:lang w:val="en-US" w:eastAsia="zh-CN"/>
        </w:rPr>
        <w:t>0.7</w:t>
      </w:r>
      <w:r>
        <w:rPr>
          <w:rFonts w:hint="eastAsia" w:ascii="仿宋_GB2312" w:hAnsi="仿宋_GB2312" w:eastAsia="仿宋_GB2312" w:cs="仿宋_GB2312"/>
          <w:sz w:val="32"/>
          <w:szCs w:val="32"/>
        </w:rPr>
        <w:t>万元、其他交通费用</w:t>
      </w:r>
      <w:r>
        <w:rPr>
          <w:rFonts w:hint="eastAsia" w:ascii="仿宋_GB2312" w:hAnsi="仿宋_GB2312" w:eastAsia="仿宋_GB2312" w:cs="仿宋_GB2312"/>
          <w:sz w:val="32"/>
          <w:szCs w:val="32"/>
          <w:u w:val="none"/>
          <w:lang w:val="en-US" w:eastAsia="zh-CN"/>
        </w:rPr>
        <w:t>15.06</w:t>
      </w:r>
      <w:r>
        <w:rPr>
          <w:rFonts w:hint="eastAsia" w:ascii="仿宋_GB2312" w:hAnsi="仿宋_GB2312" w:eastAsia="仿宋_GB2312" w:cs="仿宋_GB2312"/>
          <w:sz w:val="32"/>
          <w:szCs w:val="32"/>
        </w:rPr>
        <w:t>万元、办公设备购置</w:t>
      </w:r>
      <w:r>
        <w:rPr>
          <w:rFonts w:hint="eastAsia" w:ascii="仿宋_GB2312" w:hAnsi="仿宋_GB2312" w:eastAsia="仿宋_GB2312" w:cs="仿宋_GB2312"/>
          <w:sz w:val="32"/>
          <w:szCs w:val="32"/>
          <w:u w:val="none"/>
          <w:lang w:val="en-US" w:eastAsia="zh-CN"/>
        </w:rPr>
        <w:t>0.53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u w:val="none"/>
          <w:lang w:val="en-US" w:eastAsia="zh-CN"/>
        </w:rPr>
        <w:t>35.05</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54.77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疫情管控，集体活动减少，经费支出变少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十二、政府采购支出决算情况说明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u w:val="none"/>
          <w:lang w:val="en-US" w:eastAsia="zh-CN"/>
        </w:rPr>
        <w:t>41.27</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u w:val="none"/>
          <w:lang w:val="en-US" w:eastAsia="zh-CN"/>
        </w:rPr>
        <w:t>41.27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包括办公设备购置</w:t>
      </w:r>
      <w:r>
        <w:rPr>
          <w:rFonts w:hint="eastAsia" w:ascii="仿宋_GB2312" w:hAnsi="仿宋_GB2312" w:eastAsia="仿宋_GB2312" w:cs="仿宋_GB2312"/>
          <w:sz w:val="32"/>
          <w:szCs w:val="32"/>
          <w:lang w:val="en-US" w:eastAsia="zh-CN"/>
        </w:rPr>
        <w:t>8.13万元，信息网络及软件购置更新33.14万元。</w:t>
      </w:r>
    </w:p>
    <w:p>
      <w:pPr>
        <w:keepNext w:val="0"/>
        <w:keepLines w:val="0"/>
        <w:pageBreakBefore w:val="0"/>
        <w:widowControl w:val="0"/>
        <w:numPr>
          <w:ilvl w:val="0"/>
          <w:numId w:val="3"/>
        </w:numPr>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国有资产占用情况</w:t>
      </w:r>
    </w:p>
    <w:p>
      <w:pPr>
        <w:keepNext w:val="0"/>
        <w:keepLines w:val="0"/>
        <w:pageBreakBefore w:val="0"/>
        <w:widowControl w:val="0"/>
        <w:numPr>
          <w:ilvl w:val="0"/>
          <w:numId w:val="4"/>
        </w:numPr>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车辆情况。</w:t>
      </w:r>
    </w:p>
    <w:p>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年12月31日，本部门共有车辆</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rPr>
        <w:t>辆。</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（二）房屋情况</w:t>
      </w:r>
    </w:p>
    <w:p>
      <w:pPr>
        <w:keepNext w:val="0"/>
        <w:keepLines w:val="0"/>
        <w:pageBreakBefore w:val="0"/>
        <w:widowControl w:val="0"/>
        <w:kinsoku/>
        <w:wordWrap/>
        <w:overflowPunct/>
        <w:topLinePunct w:val="0"/>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我单位办公楼归机关事物管理局统一调配管理，无自有房屋。</w:t>
      </w:r>
    </w:p>
    <w:p>
      <w:pPr>
        <w:keepNext w:val="0"/>
        <w:keepLines w:val="0"/>
        <w:pageBreakBefore w:val="0"/>
        <w:widowControl w:val="0"/>
        <w:numPr>
          <w:ilvl w:val="0"/>
          <w:numId w:val="2"/>
        </w:numPr>
        <w:kinsoku/>
        <w:wordWrap/>
        <w:overflowPunct/>
        <w:topLinePunct w:val="0"/>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Cs w:val="32"/>
          <w:lang w:val="en-US" w:eastAsia="zh-CN"/>
        </w:rPr>
        <w:t>其他国有资产占有使用情况</w:t>
      </w:r>
    </w:p>
    <w:p>
      <w:pPr>
        <w:keepNext w:val="0"/>
        <w:keepLines w:val="0"/>
        <w:pageBreakBefore w:val="0"/>
        <w:widowControl w:val="0"/>
        <w:numPr>
          <w:ilvl w:val="0"/>
          <w:numId w:val="0"/>
        </w:numPr>
        <w:kinsoku/>
        <w:wordWrap/>
        <w:overflowPunct/>
        <w:topLinePunct w:val="0"/>
        <w:bidi w:val="0"/>
        <w:adjustRightInd/>
        <w:spacing w:line="600" w:lineRule="exact"/>
        <w:ind w:leftChars="20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十四、预算绩效评价工作开展情况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年度共</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rPr>
        <w:t>个项目开展了绩效评价工作，涉及财政性资金合计</w:t>
      </w:r>
      <w:r>
        <w:rPr>
          <w:rFonts w:hint="eastAsia" w:ascii="仿宋_GB2312" w:hAnsi="仿宋_GB2312" w:eastAsia="仿宋_GB2312" w:cs="仿宋_GB2312"/>
          <w:sz w:val="32"/>
          <w:szCs w:val="32"/>
          <w:u w:val="none"/>
          <w:lang w:val="en-US" w:eastAsia="zh-CN"/>
        </w:rPr>
        <w:t>140.6</w:t>
      </w:r>
      <w:r>
        <w:rPr>
          <w:rFonts w:hint="eastAsia" w:ascii="仿宋_GB2312" w:hAnsi="仿宋_GB2312" w:eastAsia="仿宋_GB2312" w:cs="仿宋_GB2312"/>
          <w:sz w:val="32"/>
          <w:szCs w:val="32"/>
        </w:rPr>
        <w:t>万元,主要涉及</w:t>
      </w:r>
      <w:r>
        <w:rPr>
          <w:rFonts w:hint="eastAsia" w:ascii="仿宋_GB2312" w:hAnsi="仿宋_GB2312" w:eastAsia="仿宋_GB2312" w:cs="仿宋_GB2312"/>
          <w:sz w:val="32"/>
          <w:szCs w:val="32"/>
          <w:u w:val="none"/>
          <w:lang w:eastAsia="zh-CN"/>
        </w:rPr>
        <w:t>代表培训、代表视察、预算联网监督平台等</w:t>
      </w:r>
      <w:r>
        <w:rPr>
          <w:rFonts w:hint="eastAsia" w:ascii="仿宋_GB2312" w:hAnsi="仿宋_GB2312" w:eastAsia="仿宋_GB2312" w:cs="仿宋_GB2312"/>
          <w:sz w:val="32"/>
          <w:szCs w:val="32"/>
        </w:rPr>
        <w:t>项目，金额</w:t>
      </w:r>
      <w:r>
        <w:rPr>
          <w:rFonts w:hint="eastAsia" w:ascii="仿宋_GB2312" w:hAnsi="仿宋_GB2312" w:eastAsia="仿宋_GB2312" w:cs="仿宋_GB2312"/>
          <w:sz w:val="32"/>
          <w:szCs w:val="32"/>
          <w:u w:val="none"/>
          <w:lang w:val="en-US" w:eastAsia="zh-CN"/>
        </w:rPr>
        <w:t>140.6</w:t>
      </w:r>
      <w:r>
        <w:rPr>
          <w:rFonts w:hint="eastAsia" w:ascii="仿宋_GB2312" w:hAnsi="仿宋_GB2312" w:eastAsia="仿宋_GB2312" w:cs="仿宋_GB2312"/>
          <w:sz w:val="32"/>
          <w:szCs w:val="32"/>
        </w:rPr>
        <w:t>万元，开展情况</w:t>
      </w:r>
      <w:r>
        <w:rPr>
          <w:rFonts w:hint="eastAsia" w:ascii="仿宋_GB2312" w:hAnsi="仿宋_GB2312" w:eastAsia="仿宋_GB2312" w:cs="仿宋_GB2312"/>
          <w:sz w:val="32"/>
          <w:szCs w:val="32"/>
          <w:u w:val="none"/>
          <w:lang w:eastAsia="zh-CN"/>
        </w:rPr>
        <w:t>良好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第四部分　名词解释</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一、财政拨款收入：指单位本年度从财政部门取得的财政拨款。</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三、事业收入：指事业单位开展专业业务活动及其辅助活动取得的收入，事业单位收到的财政专户实际核拨的教育收费等资金在此反映。</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五、附属单位缴款：指事业单位附属独立核算单位按照有关规定上缴的收入。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六、其他收入：指单位取得的除上述“财政拨款收入”、“事业收入”、“经营收入”等以外的各项收入。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七、用事业基金弥补收支差额：指事业单位用事业基金弥补当年收支差额的数额。</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八、年初结转和结余：指单位上年结转本年使用的基本支出结转、项目支出结转和结余和经营结余。</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九、结余分配：指事业单位按规定对非财政补助结余资金提取的职工福利基金、事业基金和缴纳的所得税，以及减少单位按规定应缴回的基本建设竣工项目结余资金。</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十、年末结转和结余资金：指本年度或以前年度预算安排、因客观条件发生变化无法按原计划实施，需要延迟到以后年度按有关规定继续使用的资金。</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十二、项目支出：指在基本支出之外为完成特定的行政任务或事业发展目标所发生的支出。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rPr>
        <w:t>十三、上缴上级支出：指事业单位按照财政部门和主管部门的规定上缴上级单位的支出。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十四、经营支出：指事业单位在专业业务活动及其辅助活动之外开展非独立核算经营活动发生的支出。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十五、对附属单位补助支出：指事业单位用财政补助收入之外的收入对附属单位补助发生的支出。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十六、“三公”经费：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sectPr>
      <w:pgSz w:w="11906" w:h="16838"/>
      <w:pgMar w:top="1440" w:right="1797" w:bottom="1440" w:left="1797" w:header="851" w:footer="992" w:gutter="0"/>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14</w:t>
    </w:r>
    <w:r>
      <w:fldChar w:fldCharType="end"/>
    </w:r>
  </w:p>
  <w:p>
    <w:pPr>
      <w:pStyle w:val="4"/>
      <w:framePr w:wrap="around" w:vAnchor="text" w:hAnchor="margin" w:xAlign="right" w:y="1"/>
      <w:rPr>
        <w:rStyle w:val="9"/>
        <w:rFonts w:hint="eastAsia"/>
      </w:rPr>
    </w:pP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B74A7"/>
    <w:multiLevelType w:val="singleLevel"/>
    <w:tmpl w:val="A76B74A7"/>
    <w:lvl w:ilvl="0" w:tentative="0">
      <w:start w:val="1"/>
      <w:numFmt w:val="chineseCounting"/>
      <w:suff w:val="nothing"/>
      <w:lvlText w:val="（%1）"/>
      <w:lvlJc w:val="left"/>
      <w:rPr>
        <w:rFonts w:hint="eastAsia"/>
      </w:rPr>
    </w:lvl>
  </w:abstractNum>
  <w:abstractNum w:abstractNumId="1">
    <w:nsid w:val="0D0EA80E"/>
    <w:multiLevelType w:val="singleLevel"/>
    <w:tmpl w:val="0D0EA80E"/>
    <w:lvl w:ilvl="0" w:tentative="0">
      <w:start w:val="1"/>
      <w:numFmt w:val="chineseCounting"/>
      <w:suff w:val="nothing"/>
      <w:lvlText w:val="（%1）"/>
      <w:lvlJc w:val="left"/>
      <w:rPr>
        <w:rFonts w:hint="eastAsia"/>
      </w:rPr>
    </w:lvl>
  </w:abstractNum>
  <w:abstractNum w:abstractNumId="2">
    <w:nsid w:val="10503E6F"/>
    <w:multiLevelType w:val="singleLevel"/>
    <w:tmpl w:val="10503E6F"/>
    <w:lvl w:ilvl="0" w:tentative="0">
      <w:start w:val="1"/>
      <w:numFmt w:val="chineseCounting"/>
      <w:suff w:val="nothing"/>
      <w:lvlText w:val="（%1）"/>
      <w:lvlJc w:val="left"/>
      <w:rPr>
        <w:rFonts w:hint="eastAsia"/>
      </w:rPr>
    </w:lvl>
  </w:abstractNum>
  <w:abstractNum w:abstractNumId="3">
    <w:nsid w:val="486F4516"/>
    <w:multiLevelType w:val="singleLevel"/>
    <w:tmpl w:val="486F4516"/>
    <w:lvl w:ilvl="0" w:tentative="0">
      <w:start w:val="1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00000000"/>
    <w:rsid w:val="005F037B"/>
    <w:rsid w:val="01A3073B"/>
    <w:rsid w:val="0374413D"/>
    <w:rsid w:val="05123C0E"/>
    <w:rsid w:val="0A0662D6"/>
    <w:rsid w:val="0A8B2189"/>
    <w:rsid w:val="0C3923C8"/>
    <w:rsid w:val="0C4F797F"/>
    <w:rsid w:val="0CF44E72"/>
    <w:rsid w:val="183A54FD"/>
    <w:rsid w:val="1D225465"/>
    <w:rsid w:val="1DA11B7B"/>
    <w:rsid w:val="203942EC"/>
    <w:rsid w:val="220859F9"/>
    <w:rsid w:val="236E24FF"/>
    <w:rsid w:val="2614745D"/>
    <w:rsid w:val="291C47AB"/>
    <w:rsid w:val="2ABA427C"/>
    <w:rsid w:val="2B001A41"/>
    <w:rsid w:val="2DC17265"/>
    <w:rsid w:val="334645FA"/>
    <w:rsid w:val="347B4C50"/>
    <w:rsid w:val="35F3363E"/>
    <w:rsid w:val="366D4898"/>
    <w:rsid w:val="37221ED0"/>
    <w:rsid w:val="37B33A43"/>
    <w:rsid w:val="39B36A66"/>
    <w:rsid w:val="3B907EBD"/>
    <w:rsid w:val="42F5563B"/>
    <w:rsid w:val="478D6B48"/>
    <w:rsid w:val="498521CD"/>
    <w:rsid w:val="4DDB1D6F"/>
    <w:rsid w:val="4FCD6A02"/>
    <w:rsid w:val="5103553C"/>
    <w:rsid w:val="544636F9"/>
    <w:rsid w:val="59A50FB0"/>
    <w:rsid w:val="63147CC6"/>
    <w:rsid w:val="64EE6A20"/>
    <w:rsid w:val="67820345"/>
    <w:rsid w:val="69E20B1E"/>
    <w:rsid w:val="6D8141AA"/>
    <w:rsid w:val="6FF9411A"/>
    <w:rsid w:val="7298248B"/>
    <w:rsid w:val="75D601C4"/>
    <w:rsid w:val="7682521B"/>
    <w:rsid w:val="78740997"/>
    <w:rsid w:val="791E4FA3"/>
    <w:rsid w:val="7E26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z w:val="32"/>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autoSpaceDE/>
      <w:autoSpaceDN/>
      <w:spacing w:line="240" w:lineRule="auto"/>
      <w:ind w:firstLine="0"/>
      <w:jc w:val="left"/>
    </w:pPr>
    <w:rPr>
      <w:rFonts w:eastAsia="宋体"/>
      <w:kern w:val="2"/>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正文首行缩进 21"/>
    <w:basedOn w:val="11"/>
    <w:next w:val="6"/>
    <w:qFormat/>
    <w:uiPriority w:val="0"/>
    <w:pPr>
      <w:ind w:left="200" w:leftChars="200" w:firstLine="200" w:firstLineChars="200"/>
    </w:pPr>
  </w:style>
  <w:style w:type="paragraph" w:customStyle="1" w:styleId="11">
    <w:name w:val="正文文本缩进1"/>
    <w:basedOn w:val="1"/>
    <w:qFormat/>
    <w:uiPriority w:val="0"/>
    <w:pPr>
      <w:ind w:left="420" w:leftChars="200"/>
    </w:pPr>
  </w:style>
  <w:style w:type="paragraph" w:customStyle="1" w:styleId="12">
    <w:name w:val="No Spacing"/>
    <w:qFormat/>
    <w:uiPriority w:val="99"/>
    <w:pPr>
      <w:ind w:firstLine="200" w:firstLineChars="200"/>
    </w:pPr>
    <w:rPr>
      <w:rFonts w:ascii="Times New Roman" w:hAnsi="Times New Roman" w:eastAsia="仿宋_GB2312" w:cs="Times New Roman"/>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emf"/><Relationship Id="rId25" Type="http://schemas.openxmlformats.org/officeDocument/2006/relationships/oleObject" Target="embeddings/oleObject10.bin"/><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6"/>
    <customShpInfo spid="_x0000_s1027"/>
    <customShpInfo spid="_x0000_s1028"/>
    <customShpInfo spid="_x0000_s1029"/>
    <customShpInfo spid="_x0000_s1030"/>
    <customShpInfo spid="_x0000_s1038"/>
    <customShpInfo spid="_x0000_s1032"/>
    <customShpInfo spid="_x0000_s1033"/>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7815</Words>
  <Characters>8312</Characters>
  <Lines>0</Lines>
  <Paragraphs>0</Paragraphs>
  <TotalTime>65</TotalTime>
  <ScaleCrop>false</ScaleCrop>
  <LinksUpToDate>false</LinksUpToDate>
  <CharactersWithSpaces>8348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2022-07-27T02:21:00Z</dcterms:created>
  <dc:creator>Administrator</dc:creator>
  <cp:lastModifiedBy>辉辉OPPOvivo体验店</cp:lastModifiedBy>
  <cp:lastPrinted>2022-08-01T09:49:00Z</cp:lastPrinted>
  <dcterms:modified xsi:type="dcterms:W3CDTF">2023-02-06T09:25:47Z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2445F13DC2A647659883A7F504E12CC2</vt:lpwstr>
  </property>
</Properties>
</file>