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沁源县道路运输管理所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2018</w:t>
      </w:r>
      <w:r>
        <w:rPr>
          <w:rFonts w:hint="eastAsia" w:ascii="宋体" w:hAnsi="宋体"/>
          <w:b/>
          <w:sz w:val="44"/>
          <w:szCs w:val="44"/>
        </w:rPr>
        <w:t>年度部门决算公开报告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概况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2018</w:t>
      </w:r>
      <w:r>
        <w:rPr>
          <w:rFonts w:hint="eastAsia" w:ascii="仿宋" w:hAnsi="仿宋" w:eastAsia="仿宋"/>
          <w:sz w:val="32"/>
          <w:szCs w:val="32"/>
        </w:rPr>
        <w:t>年度，我们认真执行预算，勤俭节约，为全所工作提供了优质的服务，严格遵守《行政事业单位会计制度》，科学完成全年财务管理工作，现就</w:t>
      </w:r>
      <w:r>
        <w:rPr>
          <w:rFonts w:hint="eastAsia" w:ascii="仿宋" w:hAnsi="仿宋" w:eastAsia="仿宋"/>
          <w:sz w:val="32"/>
          <w:szCs w:val="32"/>
          <w:lang w:eastAsia="zh-CN"/>
        </w:rPr>
        <w:t>2018</w:t>
      </w:r>
      <w:r>
        <w:rPr>
          <w:rFonts w:hint="eastAsia" w:ascii="仿宋" w:hAnsi="仿宋" w:eastAsia="仿宋"/>
          <w:sz w:val="32"/>
          <w:szCs w:val="32"/>
        </w:rPr>
        <w:t>年财务决算情况分析如下：</w:t>
      </w:r>
    </w:p>
    <w:p>
      <w:pPr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一、主要职责：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⑴.贯彻执行国家和上级主管部门有关道路运输的方针、政策、法规。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⑵.根据管理权限，负责道路客货运输经营、客货运站(场)经营、机动车维修经营、驾驶员培训的行政许可事宜，负责辖区内运输市场从业人员管理。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⑶.负责运输市场管理，维护好道路运输市场秩序，对业户的经营行为和经营活动进行监督和检查、调解运输纠纷。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⑷.做好辖区道路运输行业的调查研究和预测，制定行业发展规划。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⑸.建立各类台帐，负责各类统计数字的收集、整理和上报，做好各项基础工作。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⑹.负责辖区内源头治理超限超载工作。</w:t>
      </w:r>
    </w:p>
    <w:p>
      <w:pPr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二、单位构成情况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和</w:t>
      </w:r>
      <w:r>
        <w:rPr>
          <w:rFonts w:hint="eastAsia" w:ascii="楷体" w:hAnsi="楷体" w:eastAsia="楷体"/>
          <w:b/>
          <w:sz w:val="32"/>
          <w:szCs w:val="32"/>
        </w:rPr>
        <w:t>人员情况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我单位共有编制27人，实际在编22人，另聘用临时人员1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人作为补充。隶属交通运输局，单位下设机构有：①、城关站和郭道站：分别负责南、北半片的道路运输行政执法和源头治超工作；②、驻城关客运站办公室和驻郭道客运站办公室：分别管理和监督城关、郭道两个客运站点的客运秩序、纠纷和投诉处理、监督检查等；③、财务室：负责全所财务及票证管理工作；④、办公室：负责机关办公日常事务；⑤、综合业务室：行政许可受理、办证、客货维驾的档案台账、行政处罚文书制作、二级维护备案、年审管理等；⑥、维修和驾培管理办公室：负责本县机动车维修行业和驾校的管理工作；⑦、治超货运办：负责治超和货运管理工作；⑧、安全法制办：负责法制、安全等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正式在编人员：22人，其中女7人。年龄结构30-40：2人；40-50岁：11人；50岁以上9人。都取得或后续</w:t>
      </w:r>
      <w:r>
        <w:rPr>
          <w:rFonts w:hint="eastAsia" w:ascii="仿宋" w:hAnsi="仿宋" w:eastAsia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/>
          <w:sz w:val="32"/>
          <w:szCs w:val="32"/>
        </w:rPr>
        <w:t>成人教育大学文凭。其中党员8人。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临时人员：1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人，其中女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人。年龄结构：20-30岁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人，30-40岁2人，40-50岁3人。都是大学文化水平。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由于不能增加正式编制人员，年龄结构老化，越来越多的聘用临时人员顶岗。</w:t>
      </w:r>
    </w:p>
    <w:p>
      <w:pPr>
        <w:ind w:firstLine="643" w:firstLineChars="20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三、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部门决算编报范围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编报范围包括本</w:t>
      </w:r>
      <w:r>
        <w:rPr>
          <w:rFonts w:hint="eastAsia" w:ascii="仿宋" w:hAnsi="仿宋" w:eastAsia="仿宋"/>
          <w:sz w:val="32"/>
          <w:szCs w:val="32"/>
          <w:lang w:eastAsia="zh-CN"/>
        </w:rPr>
        <w:t>单位的全部收支情况，编报口径与单位预算衔接一致。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　　</w:t>
      </w:r>
      <w:r>
        <w:rPr>
          <w:rFonts w:hint="eastAsia" w:ascii="黑体" w:hAnsi="黑体" w:eastAsia="黑体"/>
          <w:sz w:val="32"/>
          <w:szCs w:val="32"/>
          <w:lang w:eastAsia="zh-CN"/>
        </w:rPr>
        <w:t>2018</w:t>
      </w:r>
      <w:r>
        <w:rPr>
          <w:rFonts w:hint="eastAsia" w:ascii="黑体" w:hAnsi="黑体" w:eastAsia="黑体"/>
          <w:sz w:val="32"/>
          <w:szCs w:val="32"/>
        </w:rPr>
        <w:t>年度部门决算报表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一、收入支出决算</w:t>
      </w:r>
      <w:r>
        <w:rPr>
          <w:rFonts w:hint="eastAsia" w:ascii="仿宋" w:hAnsi="仿宋" w:eastAsia="仿宋"/>
          <w:sz w:val="32"/>
          <w:szCs w:val="32"/>
          <w:lang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二、收入决算表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三、支出决算表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四、财政拨款收入支出决算总表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五、一般公共预算财政拨款支出决算表 (一)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六、一般公共预算财政拨款支出决算表 (二)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七、</w:t>
      </w:r>
      <w:r>
        <w:rPr>
          <w:rFonts w:hint="eastAsia" w:ascii="仿宋" w:hAnsi="仿宋" w:eastAsia="仿宋"/>
          <w:sz w:val="32"/>
          <w:szCs w:val="32"/>
          <w:lang w:eastAsia="zh-CN"/>
        </w:rPr>
        <w:t>一般公共预算财政拨款“三公”经费支出决算表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八、部门决算</w:t>
      </w:r>
      <w:r>
        <w:rPr>
          <w:rFonts w:hint="eastAsia" w:ascii="仿宋" w:hAnsi="仿宋" w:eastAsia="仿宋"/>
          <w:sz w:val="32"/>
          <w:szCs w:val="32"/>
        </w:rPr>
        <w:t>公开相关信息统计表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　　</w:t>
      </w:r>
      <w:r>
        <w:rPr>
          <w:rFonts w:hint="eastAsia" w:ascii="黑体" w:hAnsi="黑体" w:eastAsia="黑体"/>
          <w:sz w:val="32"/>
          <w:szCs w:val="32"/>
          <w:lang w:eastAsia="zh-CN"/>
        </w:rPr>
        <w:t>2018</w:t>
      </w:r>
      <w:r>
        <w:rPr>
          <w:rFonts w:hint="eastAsia" w:ascii="黑体" w:hAnsi="黑体" w:eastAsia="黑体"/>
          <w:sz w:val="32"/>
          <w:szCs w:val="32"/>
        </w:rPr>
        <w:t>年度部门决算情况说明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一、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财政</w:t>
      </w:r>
      <w:r>
        <w:rPr>
          <w:rFonts w:hint="eastAsia" w:ascii="楷体" w:hAnsi="楷体" w:eastAsia="楷体"/>
          <w:b/>
          <w:sz w:val="32"/>
          <w:szCs w:val="32"/>
        </w:rPr>
        <w:t>收入支出总体情况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(一)收入总计：全年财政补助收入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2407462.54</w:t>
      </w:r>
      <w:r>
        <w:rPr>
          <w:rFonts w:hint="eastAsia" w:ascii="仿宋" w:hAnsi="仿宋" w:eastAsia="仿宋"/>
          <w:sz w:val="32"/>
          <w:szCs w:val="32"/>
        </w:rPr>
        <w:t>元。较去年同期增长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10.34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eastAsia="zh-CN"/>
        </w:rPr>
        <w:t>增长原因主要是人员经费增长性支出。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(二)支出总计：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2963044.72</w:t>
      </w:r>
      <w:r>
        <w:rPr>
          <w:rFonts w:hint="eastAsia" w:ascii="仿宋" w:hAnsi="仿宋" w:eastAsia="仿宋"/>
          <w:sz w:val="32"/>
          <w:szCs w:val="32"/>
        </w:rPr>
        <w:t>元。较去年同期增长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28.18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eastAsia="zh-CN"/>
        </w:rPr>
        <w:t>增长原因主要是人员经费增长性支出（社会保障缴费部分上年度是财政统一决算，本年度是在单位决算）。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支出按功能科目分类：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262407.6</w:t>
      </w:r>
      <w:r>
        <w:rPr>
          <w:rFonts w:hint="eastAsia" w:ascii="仿宋_GB2312" w:eastAsia="仿宋_GB2312"/>
          <w:sz w:val="32"/>
          <w:szCs w:val="32"/>
        </w:rPr>
        <w:t>元，由单位缴纳的基本养老保险费支出。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2．</w:t>
      </w:r>
      <w:r>
        <w:rPr>
          <w:rFonts w:hint="eastAsia" w:ascii="仿宋_GB2312" w:eastAsia="仿宋_GB2312"/>
          <w:sz w:val="32"/>
          <w:szCs w:val="32"/>
          <w:lang w:eastAsia="zh-CN"/>
        </w:rPr>
        <w:t>扶贫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5000</w:t>
      </w:r>
      <w:r>
        <w:rPr>
          <w:rFonts w:hint="eastAsia" w:ascii="仿宋_GB2312" w:eastAsia="仿宋_GB2312"/>
          <w:sz w:val="32"/>
          <w:szCs w:val="32"/>
        </w:rPr>
        <w:t>元,为</w:t>
      </w:r>
      <w:r>
        <w:rPr>
          <w:rFonts w:hint="eastAsia" w:ascii="仿宋_GB2312" w:eastAsia="仿宋_GB2312"/>
          <w:sz w:val="32"/>
          <w:szCs w:val="32"/>
          <w:lang w:eastAsia="zh-CN"/>
        </w:rPr>
        <w:t>定点扶贫单位庄则沟村投资设施支出。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3．</w:t>
      </w:r>
      <w:r>
        <w:rPr>
          <w:rFonts w:hint="eastAsia" w:ascii="仿宋_GB2312" w:eastAsia="仿宋_GB2312"/>
          <w:sz w:val="32"/>
          <w:szCs w:val="32"/>
          <w:lang w:eastAsia="zh-CN"/>
        </w:rPr>
        <w:t>医疗卫生支出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142376.94元，支付单位职工基本医疗保险。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4、公路运输管理支出2411256.18元（其中基本支出2260425.58元，项目支出150830.6元）。</w:t>
      </w:r>
      <w:r>
        <w:rPr>
          <w:rFonts w:hint="eastAsia" w:ascii="仿宋_GB2312" w:eastAsia="仿宋_GB2312"/>
          <w:sz w:val="32"/>
          <w:szCs w:val="32"/>
        </w:rPr>
        <w:t>主要用于发放干部职工工资津贴、保障单位机构正常运转、开展</w:t>
      </w:r>
      <w:r>
        <w:rPr>
          <w:rFonts w:hint="eastAsia" w:ascii="仿宋_GB2312" w:eastAsia="仿宋_GB2312"/>
          <w:sz w:val="32"/>
          <w:szCs w:val="32"/>
          <w:lang w:eastAsia="zh-CN"/>
        </w:rPr>
        <w:t>道路运输管理</w:t>
      </w:r>
      <w:r>
        <w:rPr>
          <w:rFonts w:hint="eastAsia" w:ascii="仿宋_GB2312" w:eastAsia="仿宋_GB2312"/>
          <w:sz w:val="32"/>
          <w:szCs w:val="32"/>
        </w:rPr>
        <w:t>工作等发生的各项支出。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住房保障支出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142004</w:t>
      </w:r>
      <w:r>
        <w:rPr>
          <w:rFonts w:hint="eastAsia" w:ascii="仿宋_GB2312" w:eastAsia="仿宋_GB2312"/>
          <w:sz w:val="32"/>
          <w:szCs w:val="32"/>
        </w:rPr>
        <w:t>元，为</w:t>
      </w:r>
      <w:r>
        <w:rPr>
          <w:rFonts w:hint="eastAsia" w:ascii="仿宋_GB2312" w:eastAsia="仿宋_GB2312"/>
          <w:sz w:val="32"/>
          <w:szCs w:val="32"/>
          <w:lang w:eastAsia="zh-CN"/>
        </w:rPr>
        <w:t>运管所</w:t>
      </w:r>
      <w:r>
        <w:rPr>
          <w:rFonts w:hint="eastAsia" w:ascii="仿宋_GB2312" w:eastAsia="仿宋_GB2312"/>
          <w:sz w:val="32"/>
          <w:szCs w:val="32"/>
        </w:rPr>
        <w:t>干部职工</w:t>
      </w:r>
      <w:r>
        <w:rPr>
          <w:rFonts w:hint="eastAsia" w:ascii="仿宋_GB2312" w:eastAsia="仿宋_GB2312"/>
          <w:sz w:val="32"/>
          <w:szCs w:val="32"/>
          <w:lang w:eastAsia="zh-CN"/>
        </w:rPr>
        <w:t>缴纳</w:t>
      </w:r>
      <w:r>
        <w:rPr>
          <w:rFonts w:hint="eastAsia" w:ascii="仿宋_GB2312" w:eastAsia="仿宋_GB2312"/>
          <w:sz w:val="32"/>
          <w:szCs w:val="32"/>
        </w:rPr>
        <w:t>住房公积金支出。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6．结转下年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112907.7</w:t>
      </w:r>
      <w:r>
        <w:rPr>
          <w:rFonts w:hint="eastAsia" w:ascii="仿宋_GB2312" w:eastAsia="仿宋_GB2312"/>
          <w:sz w:val="32"/>
          <w:szCs w:val="32"/>
        </w:rPr>
        <w:t>元，为本年度结转结余资金。</w:t>
      </w:r>
    </w:p>
    <w:p>
      <w:pPr>
        <w:ind w:firstLine="643" w:firstLineChars="20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二、一般公共预算财政拨款支出情况：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一般公共财政拨款支出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2419441.94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按经济科目分类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1、工资福利支出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2088072.54</w:t>
      </w:r>
      <w:r>
        <w:rPr>
          <w:rFonts w:hint="eastAsia" w:ascii="仿宋" w:hAnsi="仿宋" w:eastAsia="仿宋"/>
          <w:sz w:val="32"/>
          <w:szCs w:val="32"/>
        </w:rPr>
        <w:t>元，占总支出的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86.3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2、商品服务支出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264590.4</w:t>
      </w:r>
      <w:r>
        <w:rPr>
          <w:rFonts w:hint="eastAsia" w:ascii="仿宋" w:hAnsi="仿宋" w:eastAsia="仿宋"/>
          <w:sz w:val="32"/>
          <w:szCs w:val="32"/>
        </w:rPr>
        <w:t>元，占总支出的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10.94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，其中基本支出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113759.8元，项目支出150830.6元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3、对个人和家庭补助支出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66779</w:t>
      </w:r>
      <w:r>
        <w:rPr>
          <w:rFonts w:hint="eastAsia" w:ascii="仿宋" w:hAnsi="仿宋" w:eastAsia="仿宋"/>
          <w:sz w:val="32"/>
          <w:szCs w:val="32"/>
        </w:rPr>
        <w:t>元，占总支出的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2.76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eastAsia="zh-CN"/>
        </w:rPr>
        <w:t>从支出比例看，人员经费占用了大部分。由于单位多年未进人，许多岗位都聘用了临时人员顶岗，增大了人员经费。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(三)三公经费支出情况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1、业务招待费：无。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2、公款出国旅游：无。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3、公务用车费：</w:t>
      </w:r>
      <w:r>
        <w:rPr>
          <w:rFonts w:hint="eastAsia" w:ascii="仿宋" w:hAnsi="仿宋" w:eastAsia="仿宋"/>
          <w:sz w:val="32"/>
          <w:szCs w:val="32"/>
          <w:lang w:eastAsia="zh-CN"/>
        </w:rPr>
        <w:t>无。</w:t>
      </w:r>
    </w:p>
    <w:p>
      <w:pPr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三、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国有</w:t>
      </w:r>
      <w:r>
        <w:rPr>
          <w:rFonts w:hint="eastAsia" w:ascii="楷体" w:hAnsi="楷体" w:eastAsia="楷体"/>
          <w:b/>
          <w:sz w:val="32"/>
          <w:szCs w:val="32"/>
        </w:rPr>
        <w:t>资产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占有</w:t>
      </w:r>
      <w:r>
        <w:rPr>
          <w:rFonts w:hint="eastAsia" w:ascii="楷体" w:hAnsi="楷体" w:eastAsia="楷体"/>
          <w:b/>
          <w:sz w:val="32"/>
          <w:szCs w:val="32"/>
        </w:rPr>
        <w:t>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1、资产总量及变动情况：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我单位资产总额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4427124.59</w:t>
      </w:r>
      <w:r>
        <w:rPr>
          <w:rFonts w:hint="eastAsia" w:ascii="仿宋" w:hAnsi="仿宋" w:eastAsia="仿宋"/>
          <w:sz w:val="32"/>
          <w:szCs w:val="32"/>
        </w:rPr>
        <w:t>元。主要由以下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部分构成： 流动资产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143538.18</w:t>
      </w:r>
      <w:r>
        <w:rPr>
          <w:rFonts w:hint="eastAsia" w:ascii="仿宋" w:hAnsi="仿宋" w:eastAsia="仿宋"/>
          <w:sz w:val="32"/>
          <w:szCs w:val="32"/>
        </w:rPr>
        <w:t>元,占资产总额的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3.24</w:t>
      </w:r>
      <w:r>
        <w:rPr>
          <w:rFonts w:hint="eastAsia" w:ascii="仿宋" w:hAnsi="仿宋" w:eastAsia="仿宋"/>
          <w:sz w:val="32"/>
          <w:szCs w:val="32"/>
        </w:rPr>
        <w:t>%； 固定资产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3492143.21</w:t>
      </w:r>
      <w:r>
        <w:rPr>
          <w:rFonts w:hint="eastAsia" w:ascii="仿宋" w:hAnsi="仿宋" w:eastAsia="仿宋"/>
          <w:sz w:val="32"/>
          <w:szCs w:val="32"/>
        </w:rPr>
        <w:t>元,占资产总额的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78.88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，无形资产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791443.2元，</w:t>
      </w:r>
      <w:r>
        <w:rPr>
          <w:rFonts w:hint="eastAsia" w:ascii="仿宋" w:hAnsi="仿宋" w:eastAsia="仿宋"/>
          <w:sz w:val="32"/>
          <w:szCs w:val="32"/>
        </w:rPr>
        <w:t>占资产总额的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17.88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负债情况：负债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30630.48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净资产情况：净资产总额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4396494.11</w:t>
      </w:r>
      <w:r>
        <w:rPr>
          <w:rFonts w:hint="eastAsia" w:ascii="仿宋" w:hAnsi="仿宋" w:eastAsia="仿宋"/>
          <w:sz w:val="32"/>
          <w:szCs w:val="32"/>
        </w:rPr>
        <w:t>元，非流动资产基金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4283586.41</w:t>
      </w:r>
      <w:r>
        <w:rPr>
          <w:rFonts w:hint="eastAsia" w:ascii="仿宋" w:hAnsi="仿宋" w:eastAsia="仿宋"/>
          <w:sz w:val="32"/>
          <w:szCs w:val="32"/>
        </w:rPr>
        <w:t>元，占净资产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97.43</w:t>
      </w:r>
      <w:r>
        <w:rPr>
          <w:rFonts w:hint="eastAsia" w:ascii="仿宋" w:hAnsi="仿宋" w:eastAsia="仿宋"/>
          <w:sz w:val="32"/>
          <w:szCs w:val="32"/>
        </w:rPr>
        <w:t>%；财政补助结转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4526.69</w:t>
      </w:r>
      <w:r>
        <w:rPr>
          <w:rFonts w:hint="eastAsia" w:ascii="仿宋" w:hAnsi="仿宋" w:eastAsia="仿宋"/>
          <w:sz w:val="32"/>
          <w:szCs w:val="32"/>
        </w:rPr>
        <w:t>元，占净资产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非财政补助结转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108381.01</w:t>
      </w:r>
      <w:r>
        <w:rPr>
          <w:rFonts w:hint="eastAsia" w:ascii="仿宋" w:hAnsi="仿宋" w:eastAsia="仿宋"/>
          <w:sz w:val="32"/>
          <w:szCs w:val="32"/>
        </w:rPr>
        <w:t>元，占净资产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2.47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2、本单位主要资产的配置、使用、处置等情况。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资产配置严格按规定办理，由所属科室提出申请，办公室资产管理登记上报，所领导审批，后勤采购（包括去政府采购申报审批备案），财务付款，物资验收入库，申请部门办理领用手续，资产部门登记入帐。办公室、办公用品科学合理分配，车辆由治超一线工作使用。资产报废处置经由主管部门和财政国资部门审批批复后处置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四、机关运行经费支出情况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我单位属于财政拨款事业单位，既不属于行政单位，也不属于参照公务员法管理的事业单位，故无机关运行经费支出。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五、“三公”经费增减变动情况</w:t>
      </w:r>
    </w:p>
    <w:p>
      <w:pPr>
        <w:ind w:firstLine="63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未发生“三公”经费支出。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六、政府采购支出情况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全年无政府采购。</w:t>
      </w:r>
    </w:p>
    <w:p>
      <w:pPr>
        <w:numPr>
          <w:numId w:val="0"/>
        </w:numPr>
        <w:ind w:firstLine="643" w:firstLineChars="200"/>
        <w:rPr>
          <w:rFonts w:hint="eastAsia" w:ascii="楷体" w:hAnsi="楷体" w:eastAsia="楷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32"/>
          <w:szCs w:val="32"/>
          <w:lang w:eastAsia="zh-CN"/>
        </w:rPr>
        <w:t>七、预算绩效情况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预算绩效管理包括事前、事中和事后三种。编制预算就是体现绩效管理的理念，年初，</w:t>
      </w:r>
      <w:r>
        <w:rPr>
          <w:rFonts w:hint="eastAsia" w:ascii="仿宋" w:hAnsi="仿宋" w:eastAsia="仿宋"/>
          <w:sz w:val="32"/>
          <w:szCs w:val="32"/>
        </w:rPr>
        <w:t>根据我所的发展实际需要，本着以收定支，量入为出，保证重点，兼顾一般的原则，完成了部门财政预算的编制工件。将预算细化落实到部门、项目、个人，并将指标和责任层层分解，提高编制的科学性。使预算更加切合实际，利于操作，确保了各项工作的顺利完成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我们对项目支出做了绩效申报，全县行政村客运招呼站牌制作安装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86066元，业务大厅房屋租赁费55545元。</w:t>
      </w:r>
    </w:p>
    <w:p>
      <w:pPr>
        <w:numPr>
          <w:ilvl w:val="0"/>
          <w:numId w:val="0"/>
        </w:numPr>
        <w:ind w:firstLine="640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开展情况：积极开展，按要求进度完成</w:t>
      </w:r>
    </w:p>
    <w:p>
      <w:pPr>
        <w:numPr>
          <w:ilvl w:val="0"/>
          <w:numId w:val="0"/>
        </w:numPr>
        <w:ind w:firstLine="640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评价结果：良好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预算执行中我们充分合理安排资金使用，严格按预算执行，事后绩效管理我们做好绩效评估工作。我们积极建立良好的绩效评估机制，让预算尽可能公开透明，使财政资金效率更加符合国家治理现代化的要求。</w:t>
      </w:r>
    </w:p>
    <w:p>
      <w:pPr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部分   名词解释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（一）基本支出：指为保障机构正常运转、完成日常</w:t>
      </w:r>
    </w:p>
    <w:p>
      <w:pPr>
        <w:autoSpaceDE w:val="0"/>
        <w:autoSpaceDN w:val="0"/>
        <w:adjustRightIn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工作任务而发生的人员支出和公用支出。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（二）项目支出：指在基本支出之外为完成特定行政任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务和事业发展目标所发生的支出。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“三公”经费：指用一般公共决算安排的因公出国（境）费、公务用车购置及运行费和公务接待费。其中，因公出国（境）费反映单位公务出国（境）的国际旅费、国外城市间交通费、住宿费、伙食费、培训费、公杂费等支出；公务用车购置费反映公务用车车辆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年8月1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D571F"/>
    <w:rsid w:val="03707472"/>
    <w:rsid w:val="060332DD"/>
    <w:rsid w:val="1A970109"/>
    <w:rsid w:val="1E4D571F"/>
    <w:rsid w:val="2B3B6CD0"/>
    <w:rsid w:val="4EEA162D"/>
    <w:rsid w:val="58962961"/>
    <w:rsid w:val="64B96436"/>
    <w:rsid w:val="660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2019-08-09T07:30:00Z</dcterms:created>
  <dc:creator>Administrator</dc:creator>
  <cp:lastModifiedBy>Administrator</cp:lastModifiedBy>
  <dcterms:modified xsi:type="dcterms:W3CDTF">2019-08-15T02:53:17Z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