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宋体"/>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rFonts w:eastAsia="宋体"/>
          <w:b/>
          <w:sz w:val="44"/>
          <w:szCs w:val="44"/>
        </w:rPr>
      </w:pPr>
      <w:r>
        <w:rPr>
          <w:rFonts w:hint="eastAsia"/>
          <w:b/>
          <w:sz w:val="44"/>
          <w:szCs w:val="44"/>
        </w:rPr>
        <w:t xml:space="preserve">                                                                                                                                                                                                                                                                                                                                                                                                                                                                                                                                                                                                                                                                                                                                                                                                                         </w:t>
      </w:r>
    </w:p>
    <w:p>
      <w:pPr>
        <w:spacing w:line="40" w:lineRule="exact"/>
        <w:jc w:val="center"/>
        <w:rPr>
          <w:b/>
          <w:sz w:val="44"/>
          <w:szCs w:val="44"/>
        </w:rPr>
      </w:pPr>
    </w:p>
    <w:p>
      <w:pPr>
        <w:spacing w:line="200" w:lineRule="exact"/>
        <w:jc w:val="center"/>
        <w:rPr>
          <w:b/>
          <w:sz w:val="44"/>
          <w:szCs w:val="44"/>
        </w:rPr>
      </w:pPr>
    </w:p>
    <w:p>
      <w:pPr>
        <w:spacing w:line="320" w:lineRule="exact"/>
        <w:jc w:val="center"/>
        <w:rPr>
          <w:b/>
          <w:sz w:val="44"/>
          <w:szCs w:val="44"/>
        </w:rPr>
      </w:pPr>
    </w:p>
    <w:p>
      <w:pPr>
        <w:spacing w:line="600" w:lineRule="exact"/>
        <w:jc w:val="center"/>
        <w:rPr>
          <w:rFonts w:ascii="仿宋_GB2312" w:hAnsi="仿宋" w:eastAsia="仿宋_GB2312" w:cs="??_GB2312"/>
          <w:kern w:val="0"/>
          <w:sz w:val="32"/>
          <w:szCs w:val="32"/>
        </w:rPr>
      </w:pPr>
      <w:r>
        <w:rPr>
          <w:rFonts w:hint="eastAsia" w:ascii="仿宋_GB2312" w:hAnsi="仿宋" w:eastAsia="仿宋_GB2312" w:cs="??_GB2312"/>
          <w:kern w:val="0"/>
          <w:sz w:val="32"/>
          <w:szCs w:val="32"/>
        </w:rPr>
        <w:t>交发〔</w:t>
      </w:r>
      <w:r>
        <w:rPr>
          <w:rFonts w:ascii="仿宋_GB2312" w:hAnsi="仿宋" w:eastAsia="仿宋_GB2312" w:cs="??_GB2312"/>
          <w:kern w:val="0"/>
          <w:sz w:val="32"/>
          <w:szCs w:val="32"/>
        </w:rPr>
        <w:t>20</w:t>
      </w:r>
      <w:r>
        <w:rPr>
          <w:rFonts w:hint="eastAsia" w:ascii="仿宋_GB2312" w:hAnsi="仿宋" w:eastAsia="仿宋_GB2312" w:cs="??_GB2312"/>
          <w:kern w:val="0"/>
          <w:sz w:val="32"/>
          <w:szCs w:val="32"/>
        </w:rPr>
        <w:t>22〕8号</w:t>
      </w:r>
    </w:p>
    <w:p>
      <w:pPr>
        <w:spacing w:line="600" w:lineRule="exact"/>
        <w:rPr>
          <w:rFonts w:ascii="宋体" w:hAnsi="宋体" w:eastAsia="宋体" w:cs="宋体"/>
          <w:b/>
          <w:bCs/>
          <w:sz w:val="10"/>
          <w:szCs w:val="10"/>
        </w:rPr>
      </w:pPr>
    </w:p>
    <w:p>
      <w:pPr>
        <w:spacing w:line="200" w:lineRule="exact"/>
        <w:rPr>
          <w:rFonts w:ascii="宋体" w:hAnsi="宋体" w:eastAsia="宋体" w:cs="宋体"/>
          <w:b/>
          <w:bCs/>
          <w:sz w:val="10"/>
          <w:szCs w:val="10"/>
        </w:rPr>
      </w:pPr>
    </w:p>
    <w:p>
      <w:pPr>
        <w:jc w:val="center"/>
        <w:rPr>
          <w:rFonts w:ascii="宋体" w:hAnsi="宋体" w:eastAsia="宋体" w:cs="宋体"/>
          <w:b/>
          <w:bCs/>
          <w:sz w:val="44"/>
          <w:szCs w:val="44"/>
        </w:rPr>
      </w:pPr>
      <w:r>
        <w:rPr>
          <w:rFonts w:hint="eastAsia" w:ascii="宋体" w:hAnsi="宋体" w:eastAsia="宋体" w:cs="宋体"/>
          <w:b/>
          <w:bCs/>
          <w:sz w:val="44"/>
          <w:szCs w:val="44"/>
        </w:rPr>
        <w:t>中共交口乡委员会</w:t>
      </w:r>
    </w:p>
    <w:p>
      <w:pPr>
        <w:jc w:val="center"/>
        <w:rPr>
          <w:rFonts w:ascii="宋体" w:hAnsi="宋体" w:cs="宋体"/>
          <w:b/>
          <w:bCs/>
          <w:spacing w:val="36"/>
          <w:sz w:val="44"/>
          <w:szCs w:val="44"/>
        </w:rPr>
      </w:pPr>
      <w:r>
        <w:rPr>
          <w:rFonts w:hint="eastAsia" w:ascii="宋体" w:hAnsi="宋体" w:cs="宋体"/>
          <w:b/>
          <w:bCs/>
          <w:spacing w:val="36"/>
          <w:sz w:val="44"/>
          <w:szCs w:val="44"/>
        </w:rPr>
        <w:t>交口乡人民政府</w:t>
      </w:r>
    </w:p>
    <w:p>
      <w:pPr>
        <w:spacing w:line="600" w:lineRule="exact"/>
        <w:jc w:val="center"/>
        <w:rPr>
          <w:rFonts w:ascii="宋体" w:hAnsi="宋体" w:eastAsia="宋体" w:cs="宋体"/>
          <w:b/>
          <w:bCs/>
          <w:sz w:val="44"/>
          <w:szCs w:val="44"/>
        </w:rPr>
      </w:pPr>
      <w:r>
        <w:rPr>
          <w:rFonts w:hint="eastAsia" w:ascii="宋体" w:hAnsi="宋体" w:eastAsia="宋体" w:cs="宋体"/>
          <w:b/>
          <w:bCs/>
          <w:sz w:val="44"/>
          <w:szCs w:val="44"/>
        </w:rPr>
        <w:t>2021年法治政府建设年度报告</w:t>
      </w:r>
    </w:p>
    <w:p>
      <w:pPr>
        <w:spacing w:line="600" w:lineRule="exact"/>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度，在县委、县政府的坚强领导下，我乡坚持以习近平新时代中国特色社会主义思想为指导，认真学习贯彻党的十九大,十九届历次全会精神和习近平总书记关于法治政府建设的重要批示精神，大力推进依法行政，创建法治政府，围绕中心工作，服务经济发展大局，多措并举，狠抓落实，推进法治政府各项工作有序推进，依法行政体制机制进一步完善，政府各项工作法治化、规范化水平进一步提升，法治政府建设取得新进展。现将有关工作报告如下：</w:t>
      </w:r>
    </w:p>
    <w:p>
      <w:pPr>
        <w:spacing w:line="60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一、乡党委学习贯彻习近平法治思想和中央依法治国工作会议精神的情况及研究落实措施的具体内容</w:t>
      </w:r>
    </w:p>
    <w:p>
      <w:pPr>
        <w:spacing w:line="600" w:lineRule="exact"/>
        <w:rPr>
          <w:rFonts w:ascii="仿宋" w:hAnsi="仿宋" w:eastAsia="仿宋" w:cs="仿宋"/>
          <w:sz w:val="32"/>
          <w:szCs w:val="32"/>
        </w:rPr>
        <w:sectPr>
          <w:pgSz w:w="11906" w:h="16838"/>
          <w:pgMar w:top="1440" w:right="1800" w:bottom="1440" w:left="1800" w:header="851" w:footer="992" w:gutter="0"/>
          <w:pgNumType w:fmt="numberInDash"/>
          <w:cols w:space="425" w:num="1"/>
          <w:docGrid w:type="lines" w:linePitch="312" w:charSpace="0"/>
        </w:sectPr>
      </w:pPr>
    </w:p>
    <w:p>
      <w:pPr>
        <w:spacing w:line="600" w:lineRule="exact"/>
        <w:rPr>
          <w:rFonts w:ascii="仿宋" w:hAnsi="仿宋" w:eastAsia="仿宋" w:cs="仿宋"/>
          <w:sz w:val="32"/>
          <w:szCs w:val="32"/>
        </w:rPr>
      </w:pPr>
      <w:r>
        <w:rPr>
          <w:rFonts w:hint="eastAsia" w:ascii="仿宋" w:hAnsi="仿宋" w:eastAsia="仿宋" w:cs="仿宋"/>
          <w:sz w:val="32"/>
          <w:szCs w:val="32"/>
        </w:rPr>
        <w:t>　　交口乡党委始终保持全面依法治乡的政治定力，系统全面跟进落实中央、省委、市委和县委相关法治部署，不折不扣推进法治建设各项工作落实，召开党委会议、乡村干部大会等，及时传达、认真组织学习习近平总书记在中央全面依法治国委员会会议上重要讲话精神等习近平总书记关于法治建设的重要论述，认真开展《民法典》、宪法修正案等相关法律法规的专题学习，将依法行政工作纳入党委重要议事日程，在工作中强化落实保障自然人、法人和其他组织合法权益的法律意识，推动依法行政工作长效化、常态化开展，牢牢把握全面依法治乡的政治方向。</w:t>
      </w:r>
    </w:p>
    <w:p>
      <w:pPr>
        <w:spacing w:line="60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二、2021年党政主要负责人履行推进法治建设第一责任人职责的情况，推进法治政府建设的主要措施和成效</w:t>
      </w:r>
    </w:p>
    <w:p>
      <w:pPr>
        <w:spacing w:line="600" w:lineRule="exact"/>
        <w:rPr>
          <w:rFonts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（一）党政主要负责人履行推进法治建设第一责任人职责的情况</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一是加强理论学习，增强法治思维。</w:t>
      </w:r>
      <w:r>
        <w:rPr>
          <w:rFonts w:hint="eastAsia" w:ascii="仿宋" w:hAnsi="仿宋" w:eastAsia="仿宋" w:cs="仿宋"/>
          <w:sz w:val="32"/>
          <w:szCs w:val="32"/>
        </w:rPr>
        <w:t>乡党委书记、乡长作为全乡党政主要负责人，积极落实《党政主要负责人履行推进法治建设第一责任人职责规定》，深入学习贯彻党的十九大，十九届历次全会精神，全面贯彻落实县委、县政府关于法治建设的重大决策部署，统筹推进科学立法、严格执法、公正司法、全民守法，自觉运用法治思维和法治方式深化改革、推动发展、化解矛盾、维护社会稳定。</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二是自觉维护司法权威，切实加强落实法治建设职责。</w:t>
      </w:r>
      <w:r>
        <w:rPr>
          <w:rFonts w:hint="eastAsia" w:ascii="仿宋" w:hAnsi="仿宋" w:eastAsia="仿宋" w:cs="仿宋"/>
          <w:bCs/>
          <w:sz w:val="32"/>
          <w:szCs w:val="32"/>
        </w:rPr>
        <w:t>党政主要领导</w:t>
      </w:r>
      <w:r>
        <w:rPr>
          <w:rFonts w:hint="eastAsia" w:ascii="仿宋" w:hAnsi="仿宋" w:eastAsia="仿宋" w:cs="仿宋"/>
          <w:sz w:val="32"/>
          <w:szCs w:val="32"/>
        </w:rPr>
        <w:t>对重大问题亲自过问、重点环节亲自协调、重要任务亲自督办，并适时召开各类专题会议，研判解决全乡法治建设相关问题，确保了全面依法治乡各项任务全面落实；带头遵纪守法，带领全乡干部职工规范依法行政行为，强化法治思维，在全乡形成一级抓一级、逐级抓落实的层级工作体系，并定期召开会议，不断健全党政领导班子、乡机关干部职工、村“两委”干部学法制度。</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三是严格自律率先垂范，当好勤政为民的表率。</w:t>
      </w:r>
      <w:r>
        <w:rPr>
          <w:rFonts w:hint="eastAsia" w:ascii="仿宋" w:hAnsi="仿宋" w:eastAsia="仿宋" w:cs="仿宋"/>
          <w:sz w:val="32"/>
          <w:szCs w:val="32"/>
        </w:rPr>
        <w:t>我乡党政主要负责人在大是大非、党纪政策面前立场坚定，在思想行动上始终与党中央保持高度一致，以自身严格遵守各项纪律的实际行动当好班子和干部群众的表率，自觉抵制贪图享乐、讲排场、比阔气等不良风气，如实向组织报告个人有关事项；能坚持以习近平新时代中国特色社会主义思想为指引，以发展社会经济为主线，以打赢脱贫攻坚战、推动乡村振兴、落实民生政策统揽农村工作全局，努力完成上级交办的各项任务，全乡呈现经济发展、社会进步、人民安居乐业、社会和谐稳定的良好态势。</w:t>
      </w:r>
    </w:p>
    <w:p>
      <w:pPr>
        <w:spacing w:line="60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（二）推进法治建设的主要举措和成效</w:t>
      </w:r>
    </w:p>
    <w:p>
      <w:pPr>
        <w:spacing w:line="600" w:lineRule="exact"/>
        <w:rPr>
          <w:rFonts w:ascii="仿宋" w:hAnsi="仿宋" w:eastAsia="仿宋" w:cs="仿宋"/>
          <w:sz w:val="32"/>
          <w:szCs w:val="32"/>
        </w:rPr>
      </w:pPr>
      <w:r>
        <w:rPr>
          <w:rFonts w:hint="eastAsia" w:ascii="仿宋" w:hAnsi="仿宋" w:eastAsia="仿宋" w:cs="仿宋"/>
          <w:b/>
          <w:bCs/>
          <w:sz w:val="32"/>
          <w:szCs w:val="32"/>
        </w:rPr>
        <w:t>　　一是强化组织领导，夯实工作责任。</w:t>
      </w:r>
      <w:r>
        <w:rPr>
          <w:rFonts w:hint="eastAsia" w:ascii="仿宋" w:hAnsi="仿宋" w:eastAsia="仿宋" w:cs="仿宋"/>
          <w:sz w:val="32"/>
          <w:szCs w:val="32"/>
        </w:rPr>
        <w:t>交口乡坚定正确政治方向，把法治建设工作作为一项重要的政治任务纳入交口发展的全局，根据乡领导班子成员的变动，及时调整法治政府建设工作领导小组。</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二是积极落实属地责任，护航疫情防控助力复工复产。</w:t>
      </w:r>
      <w:r>
        <w:rPr>
          <w:rFonts w:hint="eastAsia" w:ascii="仿宋" w:hAnsi="仿宋" w:eastAsia="仿宋" w:cs="仿宋"/>
          <w:sz w:val="32"/>
          <w:szCs w:val="32"/>
        </w:rPr>
        <w:t>积极落实属地责任，坚持“党建+防疫+复工”同部署、同推进，依法依规开展重点防控人员排查、疫情防控宣传、重点场所管控等工作，全面落实联防联控措施，构筑起群防群治的严密防线。在疫情防控期间，共动用近200多人次，张贴疫情防控普法宣传海报1000多张、派发宣传资料3000多份，利用电子显示屏、广播、横幅标语等加强疫情防控宣传20多条；同时，提高群众对《中华人民共和国传染病防治法》《突发公共卫生事件应急条例》《中华人民共和国刑法》等相关法律法规的认识，增强群众守法意识，以进一步确保全乡社会秩序稳定；积极开展“送服务、送政策、送岗位、送温暖”入企走访行动，主动上门宣传复工复产、减税降费、金融扶持等政策，全力护航企业有序复工复产，扎实做好“六稳”“六保”工作。</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三是牢固树立法治建设思维，加强法制政策业务培训。</w:t>
      </w:r>
      <w:r>
        <w:rPr>
          <w:rFonts w:hint="eastAsia" w:ascii="仿宋" w:hAnsi="仿宋" w:eastAsia="仿宋" w:cs="仿宋"/>
          <w:sz w:val="32"/>
          <w:szCs w:val="32"/>
        </w:rPr>
        <w:t>通过乡党委班子会议、乡村干部大会、支部党员会议等形式组织党员干部深入学习贯彻习近平总书记全面依法治国新理念新思想新战略，中央、省委、市委和县委关于依法行政的相关会议精神及《中华人民共和国宪法修正案》、《中华人民共和国民法典》、《禁毒法》等法律法规和党的理论政策，专门邀请县委党校老师为乡村党员干部开展宪法、民法典、行政执法“三项制度”等专题宣贯学习培训会，全面提升乡村党员干部的法治思维、法治意识和依法办事的能力。</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四是强化法治建设工作，提升全面依法治理能力。</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1、依法履行政府职能。</w:t>
      </w:r>
      <w:r>
        <w:rPr>
          <w:rFonts w:hint="eastAsia" w:ascii="仿宋" w:hAnsi="仿宋" w:eastAsia="仿宋" w:cs="仿宋"/>
          <w:sz w:val="32"/>
          <w:szCs w:val="32"/>
        </w:rPr>
        <w:t>严格落实“党政同责、一岗双责、齐抓共管、失职追责”的安全生产责任制，全年开展建筑施工、非煤矿山、地质灾害、道路交通、食品药品安全领域的监督检查，加强防汛救灾应急处置和抓好疫情防控等工作；全面落实“河长制”，持续强化森林管护和巡查落实，确保全乡全年无火灾火情发生。截止11月，开展安全生产、环境保护、食品药品等专项排查300人次，及时消除各类安全隐患；扎实开展“六乱”整治，清理乱堆乱放178处。</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2、定期开展社会矛盾“大排查、大调处、大化解”工作。</w:t>
      </w:r>
      <w:r>
        <w:rPr>
          <w:rFonts w:hint="eastAsia" w:ascii="仿宋" w:hAnsi="仿宋" w:eastAsia="仿宋" w:cs="仿宋"/>
          <w:sz w:val="32"/>
          <w:szCs w:val="32"/>
        </w:rPr>
        <w:t>加强各村党群服务平台的建设，全年共受理并处理答复信访件30多件，及时化解调处影响社会稳定的各类矛盾纠纷78件（起），努力做到社会矛盾纠纷“小事不出村、大事不出乡”，有效化解社会矛盾纠纷，维护了人民群众的合法权益。</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3、结合特殊人员实际优化社会管理职能。</w:t>
      </w:r>
      <w:r>
        <w:rPr>
          <w:rFonts w:hint="eastAsia" w:ascii="仿宋" w:hAnsi="仿宋" w:eastAsia="仿宋" w:cs="仿宋"/>
          <w:sz w:val="32"/>
          <w:szCs w:val="32"/>
        </w:rPr>
        <w:t>结合社区矫正对象、吸毒人员、精神障碍患者、刑释解教等人员的实际情况，加强特殊人群管理、稳控与帮扶，协助解决就业与生活救助等，积极组织他们加强法律法规的学习，踊跃参加志愿服务活动。</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4、深入基层开展全面法律法规政策宣传。</w:t>
      </w:r>
      <w:r>
        <w:rPr>
          <w:rFonts w:hint="eastAsia" w:ascii="仿宋" w:hAnsi="仿宋" w:eastAsia="仿宋" w:cs="仿宋"/>
          <w:sz w:val="32"/>
          <w:szCs w:val="32"/>
        </w:rPr>
        <w:t>丰富法治宣传阵地，组织乡各村、企业单位开展“疫情防控”、“3·15”消费者权益日、“4·15”国家安全日、“6·1”《中华人民共和国禁毒法》实施纪念日、“6·3”虎门销烟纪念日、“6·26”禁毒日、“安全生产月”、“12·4”国家宪法日、“反电诈”、《中华人民共和国民法典》、全民国家安全教育宣传等法治宣传教育活动20多场，加强群众的法制教育。</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5、积极开展走访、联防、宣传等活动。</w:t>
      </w:r>
      <w:r>
        <w:rPr>
          <w:rFonts w:hint="eastAsia" w:ascii="仿宋" w:hAnsi="仿宋" w:eastAsia="仿宋" w:cs="仿宋"/>
          <w:sz w:val="32"/>
          <w:szCs w:val="32"/>
        </w:rPr>
        <w:t>常态化制度化开展领导干部入户走访活动，持续开展全民国家安全教育宣传、特殊人群和重点人员管控等专项工作，2021年共走访群众370余人，发放宣传手册600多份、悬挂横幅80多条，密切了干群关系，有效维护了社会稳定。</w:t>
      </w:r>
    </w:p>
    <w:p>
      <w:pPr>
        <w:spacing w:line="60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五是加强政府自身建设，提升施政服务水平。</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1、坚持为民施政。</w:t>
      </w:r>
      <w:r>
        <w:rPr>
          <w:rFonts w:hint="eastAsia" w:ascii="仿宋" w:hAnsi="仿宋" w:eastAsia="仿宋" w:cs="仿宋"/>
          <w:sz w:val="32"/>
          <w:szCs w:val="32"/>
        </w:rPr>
        <w:t>自觉接受人大监督，积极采纳人大代表建议，加强政务公开和政府信息公开，公开政务信息50多条，办理12345市民热线20余条。</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2、强化效能建设。</w:t>
      </w:r>
      <w:r>
        <w:rPr>
          <w:rFonts w:hint="eastAsia" w:ascii="仿宋" w:hAnsi="仿宋" w:eastAsia="仿宋" w:cs="仿宋"/>
          <w:sz w:val="32"/>
          <w:szCs w:val="32"/>
        </w:rPr>
        <w:t>坚持干部联系村机制，进一步完善公务接待、公车使用、财务管理、项目管理等制度，完善“一站式服务”的乡村党群服务平台；认真落实领导干部述职述廉述法制度和重大事项报告制度，层层签订党风廉政建设责任状，严格执行责任追究制，积极配合县委巡察工作认真落实整改，驰而不息转作风、纠“四风”，着力从源头上治理腐败，努力构筑风清气正的政治环境，为全乡各项事业的健康发展提供坚强的政治保证。</w:t>
      </w:r>
    </w:p>
    <w:p>
      <w:pPr>
        <w:spacing w:line="60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三、推进法治政府建设存在的不足和原因</w:t>
      </w:r>
    </w:p>
    <w:p>
      <w:pPr>
        <w:spacing w:line="600" w:lineRule="exact"/>
        <w:rPr>
          <w:rFonts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sz w:val="32"/>
          <w:szCs w:val="32"/>
        </w:rPr>
        <w:t>　</w:t>
      </w:r>
      <w:r>
        <w:rPr>
          <w:rFonts w:hint="eastAsia" w:ascii="楷体" w:hAnsi="楷体" w:eastAsia="楷体" w:cs="楷体"/>
          <w:b/>
          <w:bCs/>
          <w:sz w:val="32"/>
          <w:szCs w:val="32"/>
        </w:rPr>
        <w:t>尽管我乡在法治政府建设取得了一定成绩，但在推进法治政府建设工作中还存在：个别干部遵法学法守法用法意识不强、群众的法治意识需进一步提高、法制宣传教育开展不平衡、法制宣传阵地建设有待进一步加强、普法经费不足等问题。究其原因主要有以下几方面：</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一是由于乡镇工作比较琐碎繁杂，基层干部专业化培训机会比较少，</w:t>
      </w:r>
      <w:r>
        <w:rPr>
          <w:rFonts w:hint="eastAsia" w:ascii="仿宋" w:hAnsi="仿宋" w:eastAsia="仿宋" w:cs="仿宋"/>
          <w:sz w:val="32"/>
          <w:szCs w:val="32"/>
        </w:rPr>
        <w:t>运用法律的思维和方法解决基层党的建设、征地拆迁、重大决策征求意见、党委班子成员队伍的业务水平和素质等仍需进一步提高。</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二是由于农村大多数青壮年外出务工，留守在家的主要是老人、妇女、儿童群体，</w:t>
      </w:r>
      <w:r>
        <w:rPr>
          <w:rFonts w:hint="eastAsia" w:ascii="仿宋" w:hAnsi="仿宋" w:eastAsia="仿宋" w:cs="仿宋"/>
          <w:sz w:val="32"/>
          <w:szCs w:val="32"/>
        </w:rPr>
        <w:t>导致普法宣传效果不够理想，部分群众的法治观念仍比较淡薄。</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三是贴近实际、贴近生活、群众喜闻乐见的法制宣传文艺节目组织不够，</w:t>
      </w:r>
      <w:r>
        <w:rPr>
          <w:rFonts w:hint="eastAsia" w:ascii="仿宋" w:hAnsi="仿宋" w:eastAsia="仿宋" w:cs="仿宋"/>
          <w:sz w:val="32"/>
          <w:szCs w:val="32"/>
        </w:rPr>
        <w:t>仍需要加大力度挖掘。</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四是由于乡级财政困难，</w:t>
      </w:r>
      <w:r>
        <w:rPr>
          <w:rFonts w:hint="eastAsia" w:ascii="仿宋" w:hAnsi="仿宋" w:eastAsia="仿宋" w:cs="仿宋"/>
          <w:sz w:val="32"/>
          <w:szCs w:val="32"/>
        </w:rPr>
        <w:t>经费不足仍将成为制约工作开展的一个重要问题。</w:t>
      </w:r>
    </w:p>
    <w:p>
      <w:pPr>
        <w:spacing w:line="60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四、2022年推进法治政府建设的主要思路和打算</w:t>
      </w:r>
    </w:p>
    <w:p>
      <w:pPr>
        <w:spacing w:line="600" w:lineRule="exact"/>
        <w:rPr>
          <w:rFonts w:ascii="仿宋" w:hAnsi="仿宋" w:eastAsia="仿宋" w:cs="仿宋"/>
          <w:sz w:val="32"/>
          <w:szCs w:val="32"/>
        </w:rPr>
      </w:pPr>
      <w:r>
        <w:rPr>
          <w:rFonts w:hint="eastAsia" w:ascii="仿宋" w:hAnsi="仿宋" w:eastAsia="仿宋" w:cs="仿宋"/>
          <w:sz w:val="32"/>
          <w:szCs w:val="32"/>
        </w:rPr>
        <w:t>　　2022年，交口乡将紧紧围绕法治政府建设的目标任务，进一步加大依法行政工作力度，重点抓好以下工作：</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一是进一步完善政府规范性文件审核机制，降低法律风险。</w:t>
      </w:r>
      <w:r>
        <w:rPr>
          <w:rFonts w:hint="eastAsia" w:ascii="仿宋" w:hAnsi="仿宋" w:eastAsia="仿宋" w:cs="仿宋"/>
          <w:sz w:val="32"/>
          <w:szCs w:val="32"/>
        </w:rPr>
        <w:t>严格按照县委文件精神，对乡政府规范性文件的出台进行规范化管理，进一步完善规范性文件的审核机制，降低法律风险。</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二是加强学习培训和队伍建设，切实做到公正文明执法。</w:t>
      </w:r>
      <w:r>
        <w:rPr>
          <w:rFonts w:hint="eastAsia" w:ascii="仿宋" w:hAnsi="仿宋" w:eastAsia="仿宋" w:cs="仿宋"/>
          <w:sz w:val="32"/>
          <w:szCs w:val="32"/>
        </w:rPr>
        <w:t>深入开展乡村干部关于《中华人民共和国宪法》《中华人民共和国民法典》和行政执法“三项制度”等法律法规的学习培训，进一步提高领导干部的大普法意识，牢固树立法治思维和法治理念，增强新形势下乡村干部依法行政、建设法治政府的使命感和责任感，提升依法履职的能力和水平；鼓励和分批组织乡机关干部积极参与行政执法考试培训，以点带面促进全乡整体依法行政素质的提高，提升机关干部依法行政能力，在执法过程中切实做到不越位、不缺位、不错位，切实做到公正文明执法。</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三是加强行政执法监督，提高行政执法水平。</w:t>
      </w:r>
      <w:r>
        <w:rPr>
          <w:rFonts w:hint="eastAsia" w:ascii="仿宋" w:hAnsi="仿宋" w:eastAsia="仿宋" w:cs="仿宋"/>
          <w:sz w:val="32"/>
          <w:szCs w:val="32"/>
        </w:rPr>
        <w:t>认真落实各项行政监督机制，自觉接受人大监督以及司法监督；积极配合县审计等部门专门监督，推动全乡依法行政工作；建立健全群众举报投诉制度，自觉接受新闻舆论监督，对群众检举、新闻媒体反映的问题进行调查、核实和及时依法作出处理。</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四是加强法制教育宣传，营造浓厚法治氛围。</w:t>
      </w:r>
      <w:r>
        <w:rPr>
          <w:rFonts w:hint="eastAsia" w:ascii="仿宋" w:hAnsi="仿宋" w:eastAsia="仿宋" w:cs="仿宋"/>
          <w:sz w:val="32"/>
          <w:szCs w:val="32"/>
        </w:rPr>
        <w:t>充分利用横幅标语、宣传栏、电子显示屏、派发宣传资料等媒介加强法律法规宣传；结合村情民意，开展以宪法、民法典为核心的法制宣传讲座和宣传活动，面向全乡群众认真开展法律法规咨询和解答工作，不断推进普法工作，进一步提高全乡群众的法律素质和对法治建设的满意度、知晓率，为建设交口提供有力的法治保障。</w:t>
      </w:r>
    </w:p>
    <w:p>
      <w:pPr>
        <w:spacing w:line="60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五、党政主要负责人履行推进法治建设第一责任职责及法治政府建设督察自查阶段中发现的问题及相关整改思路和措施</w:t>
      </w:r>
    </w:p>
    <w:p>
      <w:pPr>
        <w:spacing w:line="600" w:lineRule="exact"/>
        <w:rPr>
          <w:rFonts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（一）党政主要负责人履行推进法治建设第一责任职责及法治政府建设督察自查阶段中发现的问题</w:t>
      </w:r>
    </w:p>
    <w:p>
      <w:pPr>
        <w:spacing w:line="600" w:lineRule="exact"/>
        <w:rPr>
          <w:rFonts w:ascii="仿宋" w:hAnsi="仿宋" w:eastAsia="仿宋" w:cs="仿宋"/>
          <w:sz w:val="32"/>
          <w:szCs w:val="32"/>
        </w:rPr>
      </w:pPr>
      <w:r>
        <w:rPr>
          <w:rFonts w:hint="eastAsia" w:ascii="仿宋" w:hAnsi="仿宋" w:eastAsia="仿宋" w:cs="仿宋"/>
          <w:sz w:val="32"/>
          <w:szCs w:val="32"/>
        </w:rPr>
        <w:t>　　一是在法治政府建设工作推进过程中，带头宣传法律法规的力度还不够。</w:t>
      </w:r>
    </w:p>
    <w:p>
      <w:pPr>
        <w:spacing w:line="600" w:lineRule="exact"/>
        <w:rPr>
          <w:rFonts w:ascii="仿宋" w:hAnsi="仿宋" w:eastAsia="仿宋" w:cs="仿宋"/>
          <w:sz w:val="32"/>
          <w:szCs w:val="32"/>
        </w:rPr>
      </w:pPr>
      <w:r>
        <w:rPr>
          <w:rFonts w:hint="eastAsia" w:ascii="仿宋" w:hAnsi="仿宋" w:eastAsia="仿宋" w:cs="仿宋"/>
          <w:sz w:val="32"/>
          <w:szCs w:val="32"/>
        </w:rPr>
        <w:t>　　二是党委班子成员队伍的业务水平和素质等日常事务中仍需进一步提高。</w:t>
      </w:r>
    </w:p>
    <w:p>
      <w:pPr>
        <w:spacing w:line="600" w:lineRule="exact"/>
        <w:rPr>
          <w:rFonts w:ascii="楷体" w:hAnsi="楷体" w:eastAsia="楷体" w:cs="仿宋"/>
          <w:b/>
          <w:bCs/>
          <w:sz w:val="32"/>
          <w:szCs w:val="32"/>
        </w:rPr>
      </w:pPr>
      <w:r>
        <w:rPr>
          <w:rFonts w:hint="eastAsia" w:ascii="仿宋" w:hAnsi="仿宋" w:eastAsia="仿宋" w:cs="仿宋"/>
          <w:sz w:val="32"/>
          <w:szCs w:val="32"/>
        </w:rPr>
        <w:t>　　</w:t>
      </w:r>
      <w:r>
        <w:rPr>
          <w:rFonts w:hint="eastAsia" w:ascii="楷体" w:hAnsi="楷体" w:eastAsia="楷体" w:cs="仿宋"/>
          <w:b/>
          <w:bCs/>
          <w:sz w:val="32"/>
          <w:szCs w:val="32"/>
        </w:rPr>
        <w:t>（二）整改思路和措施</w:t>
      </w:r>
    </w:p>
    <w:p>
      <w:pPr>
        <w:spacing w:line="600" w:lineRule="exact"/>
        <w:rPr>
          <w:rFonts w:ascii="仿宋" w:hAnsi="仿宋" w:eastAsia="仿宋" w:cs="仿宋"/>
          <w:sz w:val="32"/>
          <w:szCs w:val="32"/>
        </w:rPr>
      </w:pPr>
      <w:r>
        <w:rPr>
          <w:rFonts w:hint="eastAsia" w:ascii="仿宋" w:hAnsi="仿宋" w:eastAsia="仿宋" w:cs="仿宋"/>
          <w:sz w:val="32"/>
          <w:szCs w:val="32"/>
        </w:rPr>
        <w:t>　　法治建设工作是一项长远而宏达的系统工程，我们将在今后工作中对上述问题加以改进，进一部完善法治建设的领导责任制、工作责任制。</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一是持之以恒牢固树立“抓好党建是最大政绩”的观念，进一步落实党委和支部主体责任，以党的建设统领法治政府建设。</w:t>
      </w:r>
      <w:r>
        <w:rPr>
          <w:rFonts w:hint="eastAsia" w:ascii="仿宋" w:hAnsi="仿宋" w:eastAsia="仿宋" w:cs="仿宋"/>
          <w:sz w:val="32"/>
          <w:szCs w:val="32"/>
        </w:rPr>
        <w:t>组织乡村党员干部深入学习贯彻习近平新时代中国特色社会主义思想和党的十九届六中全会及习近平总书记系列</w:t>
      </w:r>
      <w:r>
        <w:rPr>
          <w:rFonts w:hint="eastAsia" w:ascii="仿宋" w:hAnsi="仿宋" w:eastAsia="仿宋" w:cs="仿宋"/>
          <w:sz w:val="32"/>
          <w:szCs w:val="32"/>
          <w:lang w:eastAsia="zh-CN"/>
        </w:rPr>
        <w:t>重要</w:t>
      </w:r>
      <w:bookmarkStart w:id="0" w:name="_GoBack"/>
      <w:bookmarkEnd w:id="0"/>
      <w:r>
        <w:rPr>
          <w:rFonts w:hint="eastAsia" w:ascii="仿宋" w:hAnsi="仿宋" w:eastAsia="仿宋" w:cs="仿宋"/>
          <w:sz w:val="32"/>
          <w:szCs w:val="32"/>
        </w:rPr>
        <w:t>讲话精神，并落地落实，转化为推动交口发展的强大动力。</w:t>
      </w:r>
    </w:p>
    <w:p>
      <w:pPr>
        <w:spacing w:line="60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二是严格依法行政、强化服务职能，进一步推动交口经济社会发展。</w:t>
      </w:r>
      <w:r>
        <w:rPr>
          <w:rFonts w:hint="eastAsia" w:ascii="仿宋" w:hAnsi="仿宋" w:eastAsia="仿宋" w:cs="仿宋"/>
          <w:sz w:val="32"/>
          <w:szCs w:val="32"/>
        </w:rPr>
        <w:t>从乡情实际出发，严格按照依法行政的要求，进一步增强党员干部的法律意识和服务职能，做到科学执法；充分发挥统筹协调和监督作用，积极做好政务信息公开工作，加强农村基层党组织建设，发展壮大村级集体经济；深入开展多种形式的专题法律宣传、法律知识讲座和有关法律法规培训工作，不断提高乡村群众的法律意识和法律素养，把我乡的法治建设工作推上一个新的台阶，促进交口经济社会平稳健康发展。</w:t>
      </w:r>
    </w:p>
    <w:p>
      <w:pPr>
        <w:spacing w:line="60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六、其他需要报告的情况</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无。</w:t>
      </w:r>
    </w:p>
    <w:p>
      <w:pPr>
        <w:pStyle w:val="2"/>
        <w:spacing w:line="600" w:lineRule="exact"/>
        <w:ind w:left="0" w:leftChars="0"/>
      </w:pPr>
    </w:p>
    <w:p>
      <w:pPr>
        <w:wordWrap w:val="0"/>
        <w:spacing w:line="600" w:lineRule="exact"/>
        <w:jc w:val="right"/>
        <w:rPr>
          <w:rFonts w:ascii="仿宋" w:hAnsi="仿宋" w:eastAsia="仿宋" w:cs="仿宋"/>
          <w:sz w:val="32"/>
          <w:szCs w:val="32"/>
        </w:rPr>
      </w:pPr>
      <w:r>
        <w:rPr>
          <w:rFonts w:hint="eastAsia" w:ascii="仿宋" w:hAnsi="仿宋" w:eastAsia="仿宋" w:cs="仿宋"/>
          <w:sz w:val="32"/>
          <w:szCs w:val="32"/>
        </w:rPr>
        <w:t xml:space="preserve">中共交口乡委员会    </w:t>
      </w:r>
    </w:p>
    <w:p>
      <w:pPr>
        <w:wordWrap w:val="0"/>
        <w:spacing w:line="600" w:lineRule="exact"/>
        <w:ind w:firstLine="5124" w:firstLineChars="1400"/>
        <w:jc w:val="right"/>
        <w:rPr>
          <w:rFonts w:ascii="仿宋" w:hAnsi="仿宋" w:eastAsia="仿宋" w:cs="仿宋"/>
          <w:spacing w:val="23"/>
          <w:sz w:val="32"/>
          <w:szCs w:val="32"/>
        </w:rPr>
      </w:pPr>
      <w:r>
        <w:rPr>
          <w:rFonts w:hint="eastAsia" w:ascii="仿宋" w:hAnsi="仿宋" w:eastAsia="仿宋" w:cs="仿宋"/>
          <w:spacing w:val="23"/>
          <w:sz w:val="32"/>
          <w:szCs w:val="32"/>
        </w:rPr>
        <w:t xml:space="preserve">交口乡人民政府   </w:t>
      </w:r>
    </w:p>
    <w:p>
      <w:pPr>
        <w:wordWrap w:val="0"/>
        <w:spacing w:line="600" w:lineRule="exact"/>
        <w:ind w:firstLine="5440" w:firstLineChars="1700"/>
        <w:jc w:val="right"/>
        <w:rPr>
          <w:rFonts w:ascii="仿宋" w:hAnsi="仿宋" w:eastAsia="仿宋" w:cs="仿宋"/>
          <w:sz w:val="32"/>
          <w:szCs w:val="32"/>
        </w:rPr>
      </w:pPr>
      <w:r>
        <w:rPr>
          <w:rFonts w:hint="eastAsia" w:ascii="仿宋" w:hAnsi="仿宋" w:eastAsia="仿宋" w:cs="仿宋"/>
          <w:sz w:val="32"/>
          <w:szCs w:val="32"/>
        </w:rPr>
        <w:t xml:space="preserve">2022年1月9日    </w:t>
      </w:r>
    </w:p>
    <w:p>
      <w:pPr>
        <w:spacing w:line="600" w:lineRule="exact"/>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TU2ZmZlY2MyODdmYmM5OWI3ZTNlZGEyMTY2M2MifQ=="/>
  </w:docVars>
  <w:rsids>
    <w:rsidRoot w:val="7BC36756"/>
    <w:rsid w:val="00015252"/>
    <w:rsid w:val="001323C6"/>
    <w:rsid w:val="00866D43"/>
    <w:rsid w:val="0097099E"/>
    <w:rsid w:val="00D321B0"/>
    <w:rsid w:val="00FD6824"/>
    <w:rsid w:val="0C4A6D3C"/>
    <w:rsid w:val="29C4573C"/>
    <w:rsid w:val="72E26858"/>
    <w:rsid w:val="7BC3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4590</Words>
  <Characters>4646</Characters>
  <Lines>39</Lines>
  <Paragraphs>11</Paragraphs>
  <TotalTime>9</TotalTime>
  <ScaleCrop>false</ScaleCrop>
  <LinksUpToDate>false</LinksUpToDate>
  <CharactersWithSpaces>5532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2022-02-23T07:43:00Z</dcterms:created>
  <dc:creator>Administrator</dc:creator>
  <cp:lastModifiedBy>辉辉OPPOvivo体验店</cp:lastModifiedBy>
  <cp:lastPrinted>2022-02-27T01:46:00Z</cp:lastPrinted>
  <dcterms:modified xsi:type="dcterms:W3CDTF">2022-08-24T07:44:25Z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B91DFF3E01734C188D5538DB0C2F970B</vt:lpwstr>
  </property>
</Properties>
</file>