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pPr>
    </w:p>
    <w:p>
      <w:pPr>
        <w:spacing w:line="660" w:lineRule="exact"/>
        <w:jc w:val="center"/>
      </w:pPr>
    </w:p>
    <w:p>
      <w:pPr>
        <w:spacing w:line="660" w:lineRule="exact"/>
      </w:pPr>
    </w:p>
    <w:p>
      <w:pPr>
        <w:spacing w:line="660" w:lineRule="exact"/>
      </w:pPr>
    </w:p>
    <w:p>
      <w:pPr>
        <w:spacing w:line="660" w:lineRule="exact"/>
      </w:pPr>
    </w:p>
    <w:p>
      <w:pPr>
        <w:spacing w:line="660" w:lineRule="exact"/>
      </w:pPr>
    </w:p>
    <w:p>
      <w:pPr>
        <w:spacing w:line="660" w:lineRule="exact"/>
      </w:pPr>
    </w:p>
    <w:p>
      <w:pPr>
        <w:spacing w:line="660" w:lineRule="exact"/>
      </w:pPr>
    </w:p>
    <w:p>
      <w:pPr>
        <w:spacing w:line="660" w:lineRule="exact"/>
      </w:pPr>
    </w:p>
    <w:p>
      <w:pPr>
        <w:spacing w:line="300" w:lineRule="exact"/>
        <w:jc w:val="center"/>
        <w:rPr>
          <w:sz w:val="18"/>
          <w:szCs w:val="18"/>
        </w:rPr>
      </w:pPr>
    </w:p>
    <w:p>
      <w:pPr>
        <w:spacing w:line="300" w:lineRule="exact"/>
        <w:jc w:val="center"/>
        <w:rPr>
          <w:sz w:val="18"/>
          <w:szCs w:val="18"/>
        </w:rPr>
      </w:pPr>
    </w:p>
    <w:p>
      <w:pPr>
        <w:spacing w:line="300" w:lineRule="exact"/>
        <w:jc w:val="center"/>
        <w:rPr>
          <w:sz w:val="18"/>
          <w:szCs w:val="18"/>
        </w:rPr>
      </w:pPr>
    </w:p>
    <w:p>
      <w:pPr>
        <w:spacing w:line="300" w:lineRule="exact"/>
        <w:jc w:val="center"/>
        <w:rPr>
          <w:sz w:val="18"/>
          <w:szCs w:val="18"/>
        </w:rPr>
      </w:pPr>
    </w:p>
    <w:p>
      <w:pPr>
        <w:keepNext w:val="0"/>
        <w:keepLines w:val="0"/>
        <w:pageBreakBefore w:val="0"/>
        <w:widowControl w:val="0"/>
        <w:kinsoku/>
        <w:wordWrap/>
        <w:overflowPunct/>
        <w:topLinePunct w:val="0"/>
        <w:autoSpaceDE/>
        <w:autoSpaceDN/>
        <w:bidi w:val="0"/>
        <w:adjustRightInd/>
        <w:snapToGrid/>
        <w:spacing w:line="580" w:lineRule="exact"/>
        <w:ind w:firstLine="321" w:firstLineChars="100"/>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赤发</w:t>
      </w:r>
      <w:r>
        <w:rPr>
          <w:rFonts w:hint="eastAsia" w:ascii="方正仿宋_GB2312" w:hAnsi="方正仿宋_GB2312" w:eastAsia="方正仿宋_GB2312" w:cs="方正仿宋_GB2312"/>
          <w:b/>
          <w:bCs/>
          <w:sz w:val="32"/>
          <w:szCs w:val="32"/>
        </w:rPr>
        <w:t>〔20</w:t>
      </w:r>
      <w:r>
        <w:rPr>
          <w:rFonts w:hint="eastAsia" w:ascii="方正仿宋_GB2312" w:hAnsi="方正仿宋_GB2312" w:eastAsia="方正仿宋_GB2312" w:cs="方正仿宋_GB2312"/>
          <w:b/>
          <w:bCs/>
          <w:sz w:val="32"/>
          <w:szCs w:val="32"/>
          <w:lang w:val="en-US" w:eastAsia="zh-CN"/>
        </w:rPr>
        <w:t>24</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16</w:t>
      </w:r>
      <w:r>
        <w:rPr>
          <w:rFonts w:hint="eastAsia" w:ascii="方正仿宋_GB2312" w:hAnsi="方正仿宋_GB2312" w:eastAsia="方正仿宋_GB2312" w:cs="方正仿宋_GB2312"/>
          <w:b/>
          <w:bCs/>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宋体" w:hAnsi="宋体" w:cs="宋体"/>
          <w:b/>
          <w:bCs/>
          <w:sz w:val="10"/>
          <w:szCs w:val="1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default"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lang w:val="en-US" w:eastAsia="zh-CN"/>
        </w:rPr>
        <w:t>中共赤石桥乡委员会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34"/>
          <w:sz w:val="44"/>
          <w:szCs w:val="52"/>
          <w:lang w:val="en-US" w:eastAsia="zh-CN"/>
        </w:rPr>
      </w:pPr>
      <w:r>
        <w:rPr>
          <w:rFonts w:hint="eastAsia" w:ascii="方正小标宋简体" w:hAnsi="方正小标宋简体" w:eastAsia="方正小标宋简体" w:cs="方正小标宋简体"/>
          <w:spacing w:val="17"/>
          <w:sz w:val="44"/>
          <w:szCs w:val="52"/>
          <w:lang w:val="en-US" w:eastAsia="zh-CN"/>
        </w:rPr>
        <w:t xml:space="preserve"> 赤石桥乡</w:t>
      </w:r>
      <w:r>
        <w:rPr>
          <w:rFonts w:hint="eastAsia" w:ascii="方正小标宋简体" w:hAnsi="方正小标宋简体" w:eastAsia="方正小标宋简体" w:cs="方正小标宋简体"/>
          <w:spacing w:val="34"/>
          <w:sz w:val="44"/>
          <w:szCs w:val="52"/>
          <w:lang w:val="en-US"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34"/>
          <w:sz w:val="44"/>
          <w:szCs w:val="52"/>
          <w:lang w:val="en-US" w:eastAsia="zh-CN"/>
        </w:rPr>
      </w:pPr>
      <w:r>
        <w:rPr>
          <w:rFonts w:hint="eastAsia" w:ascii="方正小标宋简体" w:hAnsi="方正小标宋简体" w:eastAsia="方正小标宋简体" w:cs="方正小标宋简体"/>
          <w:spacing w:val="0"/>
          <w:sz w:val="44"/>
          <w:szCs w:val="52"/>
          <w:lang w:val="en-US" w:eastAsia="zh-CN"/>
        </w:rPr>
        <w:t>关于2023年度法治政府建设情况报告</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年以来，</w:t>
      </w:r>
      <w:r>
        <w:rPr>
          <w:rFonts w:hint="eastAsia" w:ascii="仿宋" w:hAnsi="仿宋" w:eastAsia="仿宋" w:cs="仿宋"/>
          <w:sz w:val="32"/>
          <w:szCs w:val="32"/>
          <w:lang w:eastAsia="zh-CN"/>
        </w:rPr>
        <w:t>赤石桥乡</w:t>
      </w:r>
      <w:r>
        <w:rPr>
          <w:rFonts w:hint="eastAsia" w:ascii="仿宋" w:hAnsi="仿宋" w:eastAsia="仿宋" w:cs="仿宋"/>
          <w:sz w:val="32"/>
          <w:szCs w:val="32"/>
        </w:rPr>
        <w:t>党委、政府坚持以习近平新时代中国特色社会主义思想为指导，深入贯彻落实习近平法治思想</w:t>
      </w:r>
      <w:r>
        <w:rPr>
          <w:rFonts w:hint="eastAsia" w:ascii="仿宋" w:hAnsi="仿宋" w:eastAsia="仿宋" w:cs="仿宋"/>
          <w:sz w:val="32"/>
          <w:szCs w:val="32"/>
          <w:lang w:eastAsia="zh-CN"/>
        </w:rPr>
        <w:t>，</w:t>
      </w:r>
      <w:r>
        <w:rPr>
          <w:rFonts w:hint="eastAsia" w:ascii="仿宋" w:hAnsi="仿宋" w:eastAsia="仿宋" w:cs="仿宋"/>
          <w:sz w:val="32"/>
          <w:szCs w:val="32"/>
        </w:rPr>
        <w:t>认真</w:t>
      </w:r>
      <w:r>
        <w:rPr>
          <w:rFonts w:hint="eastAsia" w:ascii="仿宋" w:hAnsi="仿宋" w:eastAsia="仿宋" w:cs="仿宋"/>
          <w:sz w:val="32"/>
          <w:szCs w:val="32"/>
          <w:lang w:val="en-US" w:eastAsia="zh-CN"/>
        </w:rPr>
        <w:t>学习贯彻</w:t>
      </w:r>
      <w:r>
        <w:rPr>
          <w:rFonts w:hint="eastAsia" w:ascii="仿宋" w:hAnsi="仿宋" w:eastAsia="仿宋" w:cs="仿宋"/>
          <w:sz w:val="32"/>
          <w:szCs w:val="32"/>
        </w:rPr>
        <w:t>党的</w:t>
      </w:r>
      <w:r>
        <w:rPr>
          <w:rFonts w:hint="eastAsia" w:ascii="仿宋" w:hAnsi="仿宋" w:eastAsia="仿宋" w:cs="仿宋"/>
          <w:sz w:val="32"/>
          <w:szCs w:val="32"/>
          <w:lang w:val="en-US" w:eastAsia="zh-CN"/>
        </w:rPr>
        <w:t>二十大</w:t>
      </w:r>
      <w:r>
        <w:rPr>
          <w:rFonts w:hint="eastAsia" w:ascii="仿宋" w:hAnsi="仿宋" w:eastAsia="仿宋" w:cs="仿宋"/>
          <w:sz w:val="32"/>
          <w:szCs w:val="32"/>
        </w:rPr>
        <w:t>精神和中央、省、市、县关于法治建设的重大决策部署，坚持依法治</w:t>
      </w:r>
      <w:r>
        <w:rPr>
          <w:rFonts w:hint="eastAsia" w:ascii="仿宋" w:hAnsi="仿宋" w:eastAsia="仿宋" w:cs="仿宋"/>
          <w:sz w:val="32"/>
          <w:szCs w:val="32"/>
          <w:lang w:eastAsia="zh-CN"/>
        </w:rPr>
        <w:t>乡</w:t>
      </w:r>
      <w:r>
        <w:rPr>
          <w:rFonts w:hint="eastAsia" w:ascii="仿宋" w:hAnsi="仿宋" w:eastAsia="仿宋" w:cs="仿宋"/>
          <w:sz w:val="32"/>
          <w:szCs w:val="32"/>
        </w:rPr>
        <w:t>、依法执政、依法行政共同推进，坚持法治政府、法治社会一体推进，通过法治创建活动的深入开展，政府的依法行政能力得到进一步提高，公民的法律意识得到进一步增强，法治政府建设工作取得明显成效。现将一年来的工作情况报告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一、坚持政治引领，高位推进法治政府建设</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（一）加强党对法治建设的领导。</w:t>
      </w:r>
      <w:r>
        <w:rPr>
          <w:rFonts w:hint="eastAsia" w:ascii="仿宋" w:hAnsi="仿宋" w:eastAsia="仿宋" w:cs="仿宋"/>
          <w:sz w:val="32"/>
          <w:szCs w:val="32"/>
        </w:rPr>
        <w:t>一是加强组织领导。</w:t>
      </w:r>
      <w:r>
        <w:rPr>
          <w:rFonts w:hint="eastAsia" w:ascii="仿宋" w:hAnsi="仿宋" w:eastAsia="仿宋" w:cs="仿宋"/>
          <w:sz w:val="32"/>
          <w:szCs w:val="32"/>
          <w:lang w:eastAsia="zh-CN"/>
        </w:rPr>
        <w:t>乡</w:t>
      </w:r>
      <w:r>
        <w:rPr>
          <w:rFonts w:hint="eastAsia" w:ascii="仿宋" w:hAnsi="仿宋" w:eastAsia="仿宋" w:cs="仿宋"/>
          <w:sz w:val="32"/>
          <w:szCs w:val="32"/>
        </w:rPr>
        <w:t>党委始终将法治建设主体责任扛在肩上、抓在手上、落在实处，成立了由</w:t>
      </w:r>
      <w:r>
        <w:rPr>
          <w:rFonts w:hint="eastAsia" w:ascii="仿宋" w:hAnsi="仿宋" w:eastAsia="仿宋" w:cs="仿宋"/>
          <w:sz w:val="32"/>
          <w:szCs w:val="32"/>
          <w:lang w:eastAsia="zh-CN"/>
        </w:rPr>
        <w:t>乡</w:t>
      </w:r>
      <w:r>
        <w:rPr>
          <w:rFonts w:hint="eastAsia" w:ascii="仿宋" w:hAnsi="仿宋" w:eastAsia="仿宋" w:cs="仿宋"/>
          <w:sz w:val="32"/>
          <w:szCs w:val="32"/>
        </w:rPr>
        <w:t>党委书记、</w:t>
      </w:r>
      <w:r>
        <w:rPr>
          <w:rFonts w:hint="eastAsia" w:ascii="仿宋" w:hAnsi="仿宋" w:eastAsia="仿宋" w:cs="仿宋"/>
          <w:sz w:val="32"/>
          <w:szCs w:val="32"/>
          <w:lang w:eastAsia="zh-CN"/>
        </w:rPr>
        <w:t>乡</w:t>
      </w:r>
      <w:r>
        <w:rPr>
          <w:rFonts w:hint="eastAsia" w:ascii="仿宋" w:hAnsi="仿宋" w:eastAsia="仿宋" w:cs="仿宋"/>
          <w:sz w:val="32"/>
          <w:szCs w:val="32"/>
        </w:rPr>
        <w:t>长任双组长，分管领导任副组长，</w:t>
      </w:r>
      <w:r>
        <w:rPr>
          <w:rFonts w:hint="eastAsia" w:ascii="仿宋" w:hAnsi="仿宋" w:eastAsia="仿宋" w:cs="仿宋"/>
          <w:sz w:val="32"/>
          <w:szCs w:val="32"/>
          <w:lang w:eastAsia="zh-CN"/>
        </w:rPr>
        <w:t>乡</w:t>
      </w:r>
      <w:r>
        <w:rPr>
          <w:rFonts w:hint="eastAsia" w:ascii="仿宋" w:hAnsi="仿宋" w:eastAsia="仿宋" w:cs="仿宋"/>
          <w:sz w:val="32"/>
          <w:szCs w:val="32"/>
        </w:rPr>
        <w:t>派出所、司法所、综治办和其他相关部门人员担任成员的</w:t>
      </w:r>
      <w:r>
        <w:rPr>
          <w:rFonts w:hint="eastAsia" w:ascii="仿宋" w:hAnsi="仿宋" w:eastAsia="仿宋" w:cs="仿宋"/>
          <w:sz w:val="32"/>
          <w:szCs w:val="32"/>
          <w:lang w:eastAsia="zh-CN"/>
        </w:rPr>
        <w:t>乡</w:t>
      </w:r>
      <w:r>
        <w:rPr>
          <w:rFonts w:hint="eastAsia" w:ascii="仿宋" w:hAnsi="仿宋" w:eastAsia="仿宋" w:cs="仿宋"/>
          <w:sz w:val="32"/>
          <w:szCs w:val="32"/>
        </w:rPr>
        <w:t>法治建设领导小组，充分发挥带头学法、坚决守法的表率作用，将党的领导贯彻法治建设全过程。二是完善工作机制。将法治建设纳入全</w:t>
      </w:r>
      <w:r>
        <w:rPr>
          <w:rFonts w:hint="eastAsia" w:ascii="仿宋" w:hAnsi="仿宋" w:eastAsia="仿宋" w:cs="仿宋"/>
          <w:sz w:val="32"/>
          <w:szCs w:val="32"/>
          <w:lang w:eastAsia="zh-CN"/>
        </w:rPr>
        <w:t>乡</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年度工作计划，制定工作方案，明确工作标准、时限和要求，压实了工作责任，力求打造一支知法守法懂法的高素质干部队伍。三是提升法治思维。通过</w:t>
      </w:r>
      <w:r>
        <w:rPr>
          <w:rFonts w:hint="eastAsia" w:ascii="仿宋" w:hAnsi="仿宋" w:eastAsia="仿宋" w:cs="仿宋"/>
          <w:sz w:val="32"/>
          <w:szCs w:val="32"/>
          <w:lang w:eastAsia="zh-CN"/>
        </w:rPr>
        <w:t>乡</w:t>
      </w:r>
      <w:r>
        <w:rPr>
          <w:rFonts w:hint="eastAsia" w:ascii="仿宋" w:hAnsi="仿宋" w:eastAsia="仿宋" w:cs="仿宋"/>
          <w:sz w:val="32"/>
          <w:szCs w:val="32"/>
        </w:rPr>
        <w:t>党委理论中心组学习、法律知识讲座等方式开展学法普法，法律顾问每月到村开展法治知识培训、免费法律咨询，司法所工作人员积极开展公共法律服务，增强了全</w:t>
      </w:r>
      <w:r>
        <w:rPr>
          <w:rFonts w:hint="eastAsia" w:ascii="仿宋" w:hAnsi="仿宋" w:eastAsia="仿宋" w:cs="仿宋"/>
          <w:sz w:val="32"/>
          <w:szCs w:val="32"/>
          <w:lang w:eastAsia="zh-CN"/>
        </w:rPr>
        <w:t>乡</w:t>
      </w:r>
      <w:r>
        <w:rPr>
          <w:rFonts w:hint="eastAsia" w:ascii="仿宋" w:hAnsi="仿宋" w:eastAsia="仿宋" w:cs="仿宋"/>
          <w:sz w:val="32"/>
          <w:szCs w:val="32"/>
        </w:rPr>
        <w:t>党员干部学法用法的法治观念，提高了依法行政能力。</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（二）夯实法治政府建设基础。</w:t>
      </w:r>
      <w:r>
        <w:rPr>
          <w:rFonts w:hint="eastAsia" w:ascii="仿宋" w:hAnsi="仿宋" w:eastAsia="仿宋" w:cs="仿宋"/>
          <w:sz w:val="32"/>
          <w:szCs w:val="32"/>
        </w:rPr>
        <w:t>一是加大监督。督促</w:t>
      </w:r>
      <w:r>
        <w:rPr>
          <w:rFonts w:hint="eastAsia" w:ascii="仿宋" w:hAnsi="仿宋" w:eastAsia="仿宋" w:cs="仿宋"/>
          <w:sz w:val="32"/>
          <w:szCs w:val="32"/>
          <w:lang w:eastAsia="zh-CN"/>
        </w:rPr>
        <w:t>乡</w:t>
      </w:r>
      <w:r>
        <w:rPr>
          <w:rFonts w:hint="eastAsia" w:ascii="仿宋" w:hAnsi="仿宋" w:eastAsia="仿宋" w:cs="仿宋"/>
          <w:sz w:val="32"/>
          <w:szCs w:val="32"/>
        </w:rPr>
        <w:t>政府在自觉接受上级党委政府和人大依法实施监督的同时，注重接受社会舆论和人民群众的监督。拓宽群众监督渠道，及时反馈信息，受理解决12345热线、县长信箱</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val="en-US" w:eastAsia="zh-CN"/>
        </w:rPr>
        <w:t>395</w:t>
      </w:r>
      <w:r>
        <w:rPr>
          <w:rFonts w:hint="eastAsia" w:ascii="仿宋" w:hAnsi="仿宋" w:eastAsia="仿宋" w:cs="仿宋"/>
          <w:sz w:val="32"/>
          <w:szCs w:val="32"/>
          <w:highlight w:val="none"/>
        </w:rPr>
        <w:t>条</w:t>
      </w:r>
      <w:r>
        <w:rPr>
          <w:rFonts w:hint="eastAsia" w:ascii="仿宋" w:hAnsi="仿宋" w:eastAsia="仿宋" w:cs="仿宋"/>
          <w:sz w:val="32"/>
          <w:szCs w:val="32"/>
        </w:rPr>
        <w:t>，依法保障人民群众对行政行为实施监督的权利。二是规范执法。扎实推进全</w:t>
      </w:r>
      <w:r>
        <w:rPr>
          <w:rFonts w:hint="eastAsia" w:ascii="仿宋" w:hAnsi="仿宋" w:eastAsia="仿宋" w:cs="仿宋"/>
          <w:sz w:val="32"/>
          <w:szCs w:val="32"/>
          <w:lang w:eastAsia="zh-CN"/>
        </w:rPr>
        <w:t>乡</w:t>
      </w:r>
      <w:r>
        <w:rPr>
          <w:rFonts w:hint="eastAsia" w:ascii="仿宋" w:hAnsi="仿宋" w:eastAsia="仿宋" w:cs="仿宋"/>
          <w:sz w:val="32"/>
          <w:szCs w:val="32"/>
        </w:rPr>
        <w:t>综合行政执法改革，</w:t>
      </w:r>
      <w:r>
        <w:rPr>
          <w:rFonts w:hint="eastAsia" w:ascii="仿宋" w:hAnsi="仿宋" w:eastAsia="仿宋" w:cs="仿宋"/>
          <w:sz w:val="32"/>
          <w:szCs w:val="32"/>
          <w:lang w:val="en-US" w:eastAsia="zh-CN"/>
        </w:rPr>
        <w:t>健全完善</w:t>
      </w:r>
      <w:r>
        <w:rPr>
          <w:rFonts w:hint="eastAsia" w:ascii="仿宋" w:hAnsi="仿宋" w:eastAsia="仿宋" w:cs="仿宋"/>
          <w:sz w:val="32"/>
          <w:szCs w:val="32"/>
        </w:rPr>
        <w:t>《</w:t>
      </w:r>
      <w:r>
        <w:rPr>
          <w:rFonts w:hint="eastAsia" w:ascii="仿宋" w:hAnsi="仿宋" w:eastAsia="仿宋" w:cs="仿宋"/>
          <w:sz w:val="32"/>
          <w:szCs w:val="32"/>
          <w:lang w:eastAsia="zh-CN"/>
        </w:rPr>
        <w:t>赤石桥乡</w:t>
      </w:r>
      <w:r>
        <w:rPr>
          <w:rFonts w:hint="eastAsia" w:ascii="仿宋" w:hAnsi="仿宋" w:eastAsia="仿宋" w:cs="仿宋"/>
          <w:sz w:val="32"/>
          <w:szCs w:val="32"/>
        </w:rPr>
        <w:t>综合行政执法事项清单》《</w:t>
      </w:r>
      <w:r>
        <w:rPr>
          <w:rFonts w:hint="eastAsia" w:ascii="仿宋" w:hAnsi="仿宋" w:eastAsia="仿宋" w:cs="仿宋"/>
          <w:sz w:val="32"/>
          <w:szCs w:val="32"/>
          <w:lang w:eastAsia="zh-CN"/>
        </w:rPr>
        <w:t>赤石桥乡</w:t>
      </w:r>
      <w:r>
        <w:rPr>
          <w:rFonts w:hint="eastAsia" w:ascii="仿宋" w:hAnsi="仿宋" w:eastAsia="仿宋" w:cs="仿宋"/>
          <w:sz w:val="32"/>
          <w:szCs w:val="32"/>
        </w:rPr>
        <w:t>综合行政执法改革执法实践行动方案》《</w:t>
      </w:r>
      <w:r>
        <w:rPr>
          <w:rFonts w:hint="eastAsia" w:ascii="仿宋" w:hAnsi="仿宋" w:eastAsia="仿宋" w:cs="仿宋"/>
          <w:sz w:val="32"/>
          <w:szCs w:val="32"/>
          <w:lang w:eastAsia="zh-CN"/>
        </w:rPr>
        <w:t>赤石桥乡</w:t>
      </w:r>
      <w:r>
        <w:rPr>
          <w:rFonts w:hint="eastAsia" w:ascii="仿宋" w:hAnsi="仿宋" w:eastAsia="仿宋" w:cs="仿宋"/>
          <w:sz w:val="32"/>
          <w:szCs w:val="32"/>
        </w:rPr>
        <w:t>综合行政执法队日常管理制度》</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赤石桥乡</w:t>
      </w:r>
      <w:r>
        <w:rPr>
          <w:rFonts w:hint="default" w:ascii="仿宋_GB2312" w:hAnsi="仿宋_GB2312" w:eastAsia="仿宋_GB2312" w:cs="仿宋_GB2312"/>
          <w:sz w:val="32"/>
          <w:szCs w:val="32"/>
          <w:highlight w:val="none"/>
          <w:lang w:val="en-US" w:eastAsia="zh-CN"/>
        </w:rPr>
        <w:t>综合行政执法统一指标工作机制》</w:t>
      </w:r>
      <w:r>
        <w:rPr>
          <w:rFonts w:hint="eastAsia" w:ascii="仿宋" w:hAnsi="仿宋" w:eastAsia="仿宋" w:cs="仿宋"/>
          <w:sz w:val="32"/>
          <w:szCs w:val="32"/>
        </w:rPr>
        <w:t>等制度，</w:t>
      </w:r>
      <w:r>
        <w:rPr>
          <w:rFonts w:hint="eastAsia" w:ascii="仿宋" w:hAnsi="仿宋" w:eastAsia="仿宋" w:cs="仿宋"/>
          <w:sz w:val="32"/>
          <w:szCs w:val="32"/>
          <w:lang w:val="en-US" w:eastAsia="zh-CN"/>
        </w:rPr>
        <w:t>整合调整执法队人员，并结合执法人员专业特长分组执法，提升执法效能；补充执法记录仪、无人机、相机等执法装备，</w:t>
      </w:r>
      <w:r>
        <w:rPr>
          <w:rFonts w:hint="eastAsia" w:ascii="仿宋_GB2312" w:hAnsi="仿宋_GB2312" w:eastAsia="仿宋_GB2312" w:cs="仿宋_GB2312"/>
          <w:sz w:val="32"/>
          <w:szCs w:val="32"/>
          <w:highlight w:val="none"/>
          <w:lang w:val="en-US" w:eastAsia="zh-CN"/>
        </w:rPr>
        <w:t>为11名获取执法证件的人员，其中行政人员7名，事业人员4名，全缴纳了人身意外伤害保险，有效破解保障“弱”的问题；建立健全了行政执法的责任、公示、全过程记录、考核评议、“回访反馈”等一系列制度，</w:t>
      </w:r>
      <w:r>
        <w:rPr>
          <w:rFonts w:hint="default" w:ascii="Times New Roman" w:hAnsi="Times New Roman" w:eastAsia="仿宋_GB2312" w:cs="Times New Roman"/>
          <w:sz w:val="32"/>
          <w:szCs w:val="32"/>
          <w:lang w:val="en-US" w:eastAsia="zh-CN"/>
        </w:rPr>
        <w:t>聘请专业</w:t>
      </w:r>
      <w:r>
        <w:rPr>
          <w:rFonts w:hint="eastAsia" w:ascii="Times New Roman" w:hAnsi="Times New Roman" w:eastAsia="仿宋_GB2312" w:cs="Times New Roman"/>
          <w:sz w:val="32"/>
          <w:szCs w:val="32"/>
          <w:lang w:val="en-US" w:eastAsia="zh-CN"/>
        </w:rPr>
        <w:t>律师与</w:t>
      </w:r>
      <w:r>
        <w:rPr>
          <w:rFonts w:hint="default" w:ascii="Times New Roman" w:hAnsi="Times New Roman" w:eastAsia="仿宋_GB2312" w:cs="Times New Roman"/>
          <w:sz w:val="32"/>
          <w:szCs w:val="32"/>
          <w:lang w:val="en-US" w:eastAsia="zh-CN"/>
        </w:rPr>
        <w:t>法律顾问</w:t>
      </w:r>
      <w:r>
        <w:rPr>
          <w:rFonts w:hint="eastAsia" w:ascii="Times New Roman" w:hAnsi="Times New Roman" w:eastAsia="仿宋_GB2312" w:cs="Times New Roman"/>
          <w:sz w:val="32"/>
          <w:szCs w:val="32"/>
          <w:lang w:val="en-US" w:eastAsia="zh-CN"/>
        </w:rPr>
        <w:t>把关审核，</w:t>
      </w:r>
      <w:r>
        <w:rPr>
          <w:rFonts w:hint="default" w:ascii="Times New Roman" w:hAnsi="Times New Roman" w:eastAsia="仿宋_GB2312" w:cs="Times New Roman"/>
          <w:sz w:val="32"/>
          <w:szCs w:val="32"/>
          <w:lang w:val="en-US" w:eastAsia="zh-CN"/>
        </w:rPr>
        <w:t>编印执法工作指南，</w:t>
      </w:r>
      <w:r>
        <w:rPr>
          <w:rFonts w:hint="default" w:ascii="Times New Roman" w:hAnsi="Times New Roman" w:eastAsia="仿宋_GB2312" w:cs="Times New Roman"/>
          <w:b w:val="0"/>
          <w:bCs w:val="0"/>
          <w:color w:val="auto"/>
          <w:sz w:val="32"/>
          <w:szCs w:val="32"/>
          <w:lang w:val="en-US" w:eastAsia="zh-CN"/>
        </w:rPr>
        <w:t>确保案件处置经得住检验</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b w:val="0"/>
          <w:bCs w:val="0"/>
          <w:sz w:val="32"/>
          <w:szCs w:val="32"/>
          <w:lang w:val="en-US" w:eastAsia="zh-CN"/>
        </w:rPr>
        <w:t>2023年综合行政执法队与县直部门开展联合执法3次，“乡镇吹哨、部门报到”5次，下发责令停止（改正）违法行为通知书7份；独立开展</w:t>
      </w:r>
      <w:r>
        <w:rPr>
          <w:rFonts w:hint="eastAsia" w:ascii="仿宋_GB2312" w:hAnsi="仿宋_GB2312" w:eastAsia="仿宋_GB2312" w:cs="仿宋_GB2312"/>
          <w:sz w:val="32"/>
          <w:szCs w:val="32"/>
          <w:lang w:val="en-US" w:eastAsia="zh-CN"/>
        </w:rPr>
        <w:t>行政执法检查32次，出动执法人员人次185次，下达责令整改7次，行政处罚3次，立案办结行政处罚案件3宗，处罚款23990元。对赤石桥乡范围内林业、</w:t>
      </w:r>
      <w:r>
        <w:rPr>
          <w:rFonts w:hint="eastAsia" w:ascii="仿宋_GB2312" w:hAnsi="仿宋_GB2312" w:eastAsia="仿宋_GB2312" w:cs="仿宋_GB2312"/>
          <w:color w:val="auto"/>
          <w:kern w:val="0"/>
          <w:sz w:val="32"/>
          <w:szCs w:val="32"/>
          <w:lang w:eastAsia="zh-CN"/>
        </w:rPr>
        <w:t>农业农村、</w:t>
      </w:r>
      <w:r>
        <w:rPr>
          <w:rFonts w:hint="eastAsia" w:ascii="仿宋_GB2312" w:hAnsi="仿宋_GB2312" w:eastAsia="仿宋_GB2312" w:cs="仿宋_GB2312"/>
          <w:color w:val="auto"/>
          <w:kern w:val="0"/>
          <w:sz w:val="32"/>
          <w:szCs w:val="32"/>
          <w:lang w:val="en-US" w:eastAsia="zh-CN"/>
        </w:rPr>
        <w:t>企业安全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护林防火、道路交通等方面进行了监督，对违法行为起到了有效制止和警示作用。</w:t>
      </w:r>
      <w:r>
        <w:rPr>
          <w:rFonts w:hint="eastAsia" w:ascii="仿宋" w:hAnsi="仿宋" w:eastAsia="仿宋" w:cs="仿宋"/>
          <w:sz w:val="32"/>
          <w:szCs w:val="32"/>
        </w:rPr>
        <w:t>三是健全服务。全</w:t>
      </w:r>
      <w:r>
        <w:rPr>
          <w:rFonts w:hint="eastAsia" w:ascii="仿宋" w:hAnsi="仿宋" w:eastAsia="仿宋" w:cs="仿宋"/>
          <w:sz w:val="32"/>
          <w:szCs w:val="32"/>
          <w:lang w:eastAsia="zh-CN"/>
        </w:rPr>
        <w:t>乡</w:t>
      </w:r>
      <w:r>
        <w:rPr>
          <w:rFonts w:hint="eastAsia" w:ascii="仿宋" w:hAnsi="仿宋" w:eastAsia="仿宋" w:cs="仿宋"/>
          <w:sz w:val="32"/>
          <w:szCs w:val="32"/>
        </w:rPr>
        <w:t>设立1个公共法律服务工作站，1</w:t>
      </w:r>
      <w:r>
        <w:rPr>
          <w:rFonts w:hint="eastAsia" w:ascii="仿宋" w:hAnsi="仿宋" w:eastAsia="仿宋" w:cs="仿宋"/>
          <w:sz w:val="32"/>
          <w:szCs w:val="32"/>
          <w:lang w:eastAsia="zh-CN"/>
        </w:rPr>
        <w:t>3</w:t>
      </w:r>
      <w:r>
        <w:rPr>
          <w:rFonts w:hint="eastAsia" w:ascii="仿宋" w:hAnsi="仿宋" w:eastAsia="仿宋" w:cs="仿宋"/>
          <w:sz w:val="32"/>
          <w:szCs w:val="32"/>
        </w:rPr>
        <w:t>个村级</w:t>
      </w:r>
      <w:r>
        <w:rPr>
          <w:rFonts w:hint="eastAsia" w:ascii="仿宋" w:hAnsi="仿宋" w:eastAsia="仿宋" w:cs="仿宋"/>
          <w:sz w:val="32"/>
          <w:szCs w:val="32"/>
          <w:lang w:eastAsia="zh-CN"/>
        </w:rPr>
        <w:t>调解委员会</w:t>
      </w:r>
      <w:r>
        <w:rPr>
          <w:rFonts w:hint="eastAsia" w:ascii="仿宋" w:hAnsi="仿宋" w:eastAsia="仿宋" w:cs="仿宋"/>
          <w:sz w:val="32"/>
          <w:szCs w:val="32"/>
        </w:rPr>
        <w:t>，法律服务明白墙实现村村全覆盖，专职辅警联系村、法律顾问定期服务，提供无偿法律咨询服务，引导群众以合法途径解决问题；</w:t>
      </w:r>
      <w:r>
        <w:rPr>
          <w:rFonts w:hint="eastAsia" w:ascii="仿宋" w:hAnsi="仿宋" w:eastAsia="仿宋" w:cs="仿宋"/>
          <w:sz w:val="32"/>
          <w:szCs w:val="32"/>
          <w:lang w:eastAsia="zh-CN"/>
        </w:rPr>
        <w:t>乡</w:t>
      </w:r>
      <w:r>
        <w:rPr>
          <w:rFonts w:hint="eastAsia" w:ascii="仿宋" w:hAnsi="仿宋" w:eastAsia="仿宋" w:cs="仿宋"/>
          <w:sz w:val="32"/>
          <w:szCs w:val="32"/>
        </w:rPr>
        <w:t>专职人民调解员</w:t>
      </w:r>
      <w:r>
        <w:rPr>
          <w:rFonts w:hint="eastAsia" w:ascii="仿宋" w:hAnsi="仿宋" w:eastAsia="仿宋" w:cs="仿宋"/>
          <w:sz w:val="32"/>
          <w:szCs w:val="32"/>
          <w:lang w:eastAsia="zh-CN"/>
        </w:rPr>
        <w:t>2</w:t>
      </w:r>
      <w:r>
        <w:rPr>
          <w:rFonts w:hint="eastAsia" w:ascii="仿宋" w:hAnsi="仿宋" w:eastAsia="仿宋" w:cs="仿宋"/>
          <w:sz w:val="32"/>
          <w:szCs w:val="32"/>
        </w:rPr>
        <w:t>名，村级调解员</w:t>
      </w:r>
      <w:r>
        <w:rPr>
          <w:rFonts w:hint="eastAsia" w:ascii="仿宋" w:hAnsi="仿宋" w:eastAsia="仿宋" w:cs="仿宋"/>
          <w:sz w:val="32"/>
          <w:szCs w:val="32"/>
          <w:lang w:eastAsia="zh-CN"/>
        </w:rPr>
        <w:t>90</w:t>
      </w:r>
      <w:r>
        <w:rPr>
          <w:rFonts w:hint="eastAsia" w:ascii="仿宋" w:hAnsi="仿宋" w:eastAsia="仿宋" w:cs="仿宋"/>
          <w:sz w:val="32"/>
          <w:szCs w:val="32"/>
        </w:rPr>
        <w:t>名，</w:t>
      </w:r>
      <w:r>
        <w:rPr>
          <w:rFonts w:hint="eastAsia" w:ascii="仿宋" w:hAnsi="仿宋" w:eastAsia="仿宋" w:cs="仿宋"/>
          <w:sz w:val="32"/>
          <w:szCs w:val="32"/>
          <w:lang w:val="en-US" w:eastAsia="zh-CN"/>
        </w:rPr>
        <w:t>全乡培育“法律明白人”60余名，培育农村学法用法示范户13户，</w:t>
      </w:r>
      <w:r>
        <w:rPr>
          <w:rFonts w:hint="eastAsia" w:ascii="仿宋" w:hAnsi="仿宋" w:eastAsia="仿宋" w:cs="仿宋"/>
          <w:sz w:val="32"/>
          <w:szCs w:val="32"/>
        </w:rPr>
        <w:t>全年共调解案件30余件，践行了枫桥经验，守护了一方稳定。</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（三）推进“八五”普法宣传教育。</w:t>
      </w:r>
      <w:r>
        <w:rPr>
          <w:rFonts w:hint="eastAsia" w:ascii="仿宋" w:hAnsi="仿宋" w:eastAsia="仿宋" w:cs="仿宋"/>
          <w:sz w:val="32"/>
          <w:szCs w:val="32"/>
          <w:lang w:val="en-US" w:eastAsia="zh-CN"/>
        </w:rPr>
        <w:t>建立《赤石桥乡领导干部学法用法制度》，乡</w:t>
      </w:r>
      <w:r>
        <w:rPr>
          <w:rFonts w:hint="eastAsia" w:ascii="仿宋" w:hAnsi="仿宋" w:eastAsia="仿宋" w:cs="仿宋"/>
          <w:sz w:val="32"/>
          <w:szCs w:val="32"/>
        </w:rPr>
        <w:t>党委班子带头学法普法，制定学习计划，利用每周工作例会和党委理论学习中心组会议，学习习近平法治思想和《中华人民共和国宪法》《民法典》等法律法规，各村、各</w:t>
      </w:r>
      <w:r>
        <w:rPr>
          <w:rFonts w:hint="eastAsia" w:ascii="仿宋" w:hAnsi="仿宋" w:eastAsia="仿宋" w:cs="仿宋"/>
          <w:sz w:val="32"/>
          <w:szCs w:val="32"/>
          <w:lang w:eastAsia="zh-CN"/>
        </w:rPr>
        <w:t>站所、企业</w:t>
      </w:r>
      <w:r>
        <w:rPr>
          <w:rFonts w:hint="eastAsia" w:ascii="仿宋" w:hAnsi="仿宋" w:eastAsia="仿宋" w:cs="仿宋"/>
          <w:sz w:val="32"/>
          <w:szCs w:val="32"/>
        </w:rPr>
        <w:t>结合“3.15”消费者权益日、6月安全生产月、食品安全宣传周、119消防安全月、科技宣传周、国际减灾日、全国交通安全宣传日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宪法宣传周</w:t>
      </w:r>
      <w:r>
        <w:rPr>
          <w:rFonts w:hint="eastAsia" w:ascii="仿宋" w:hAnsi="仿宋" w:eastAsia="仿宋" w:cs="仿宋"/>
          <w:sz w:val="32"/>
          <w:szCs w:val="32"/>
        </w:rPr>
        <w:t>，开展以生产安全、消防安全、交通安全、食品安全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知法懂法</w:t>
      </w:r>
      <w:r>
        <w:rPr>
          <w:rFonts w:hint="eastAsia" w:ascii="仿宋" w:hAnsi="仿宋" w:eastAsia="仿宋" w:cs="仿宋"/>
          <w:sz w:val="32"/>
          <w:szCs w:val="32"/>
        </w:rPr>
        <w:t>为主题的大型宣传活动，党政主要负责人带头进社区、进农村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进校园、进企业</w:t>
      </w:r>
      <w:r>
        <w:rPr>
          <w:rFonts w:hint="eastAsia" w:ascii="仿宋" w:hAnsi="仿宋" w:eastAsia="仿宋" w:cs="仿宋"/>
          <w:sz w:val="32"/>
          <w:szCs w:val="32"/>
        </w:rPr>
        <w:t>。</w:t>
      </w:r>
      <w:r>
        <w:rPr>
          <w:rFonts w:hint="eastAsia" w:ascii="仿宋" w:hAnsi="仿宋" w:eastAsia="仿宋" w:cs="仿宋"/>
          <w:sz w:val="32"/>
          <w:szCs w:val="32"/>
          <w:lang w:val="en-US" w:eastAsia="zh-CN"/>
        </w:rPr>
        <w:t>全乡确定普法联络员13名，包联村社区开展普法工作。</w:t>
      </w:r>
      <w:r>
        <w:rPr>
          <w:rFonts w:hint="eastAsia" w:ascii="仿宋" w:hAnsi="仿宋" w:eastAsia="仿宋" w:cs="仿宋"/>
          <w:sz w:val="32"/>
          <w:szCs w:val="32"/>
        </w:rPr>
        <w:t>全年共发放各类宣传资料</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800</w:t>
      </w:r>
      <w:r>
        <w:rPr>
          <w:rFonts w:hint="eastAsia" w:ascii="仿宋" w:hAnsi="仿宋" w:eastAsia="仿宋" w:cs="仿宋"/>
          <w:sz w:val="32"/>
          <w:szCs w:val="32"/>
        </w:rPr>
        <w:t>余份，为小学上法治课</w:t>
      </w:r>
      <w:r>
        <w:rPr>
          <w:rFonts w:hint="eastAsia" w:ascii="仿宋" w:hAnsi="仿宋" w:eastAsia="仿宋" w:cs="仿宋"/>
          <w:sz w:val="32"/>
          <w:szCs w:val="32"/>
          <w:lang w:eastAsia="zh-CN"/>
        </w:rPr>
        <w:t>3</w:t>
      </w:r>
      <w:r>
        <w:rPr>
          <w:rFonts w:hint="eastAsia" w:ascii="仿宋" w:hAnsi="仿宋" w:eastAsia="仿宋" w:cs="仿宋"/>
          <w:sz w:val="32"/>
          <w:szCs w:val="32"/>
        </w:rPr>
        <w:t>堂，向群众解答法律咨询</w:t>
      </w:r>
      <w:r>
        <w:rPr>
          <w:rFonts w:hint="eastAsia" w:ascii="仿宋" w:hAnsi="仿宋" w:eastAsia="仿宋" w:cs="仿宋"/>
          <w:sz w:val="32"/>
          <w:szCs w:val="32"/>
          <w:lang w:eastAsia="zh-CN"/>
        </w:rPr>
        <w:t>230</w:t>
      </w:r>
      <w:r>
        <w:rPr>
          <w:rFonts w:hint="eastAsia" w:ascii="仿宋" w:hAnsi="仿宋" w:eastAsia="仿宋" w:cs="仿宋"/>
          <w:sz w:val="32"/>
          <w:szCs w:val="32"/>
        </w:rPr>
        <w:t>余人次，受益</w:t>
      </w:r>
      <w:bookmarkStart w:id="0" w:name="_GoBack"/>
      <w:bookmarkEnd w:id="0"/>
      <w:r>
        <w:rPr>
          <w:rFonts w:hint="eastAsia" w:ascii="仿宋" w:hAnsi="仿宋" w:eastAsia="仿宋" w:cs="仿宋"/>
          <w:sz w:val="32"/>
          <w:szCs w:val="32"/>
        </w:rPr>
        <w:t>群众</w:t>
      </w:r>
      <w:r>
        <w:rPr>
          <w:rFonts w:hint="eastAsia" w:ascii="仿宋" w:hAnsi="仿宋" w:eastAsia="仿宋" w:cs="仿宋"/>
          <w:sz w:val="32"/>
          <w:szCs w:val="32"/>
          <w:lang w:eastAsia="zh-CN"/>
        </w:rPr>
        <w:t>6000</w:t>
      </w:r>
      <w:r>
        <w:rPr>
          <w:rFonts w:hint="eastAsia" w:ascii="仿宋" w:hAnsi="仿宋" w:eastAsia="仿宋" w:cs="仿宋"/>
          <w:sz w:val="32"/>
          <w:szCs w:val="32"/>
        </w:rPr>
        <w:t>人次，取得较好的普法宣传效果。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二、存在的主要问题及原因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乡</w:t>
      </w:r>
      <w:r>
        <w:rPr>
          <w:rFonts w:hint="eastAsia" w:ascii="仿宋" w:hAnsi="仿宋" w:eastAsia="仿宋" w:cs="仿宋"/>
          <w:sz w:val="32"/>
          <w:szCs w:val="32"/>
        </w:rPr>
        <w:t>法治政府建设虽然取得了一些成绩，但也存在一些不足，主要表现在以下三个方面：</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（一）学法用法氛围有待加强。</w:t>
      </w:r>
      <w:r>
        <w:rPr>
          <w:rFonts w:hint="eastAsia" w:ascii="仿宋" w:hAnsi="仿宋" w:eastAsia="仿宋" w:cs="仿宋"/>
          <w:sz w:val="32"/>
          <w:szCs w:val="32"/>
        </w:rPr>
        <w:t>部分领导干部学法不够系统、深入，主动运用法律意识和法治思维不足，对于加快推进法治政府建设的重要性、紧迫性认识还不够深刻，贯彻落实离上级要求仍有一定差距。</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（二）工作推进机制有待完善。</w:t>
      </w:r>
      <w:r>
        <w:rPr>
          <w:rFonts w:hint="eastAsia" w:ascii="仿宋" w:hAnsi="仿宋" w:eastAsia="仿宋" w:cs="仿宋"/>
          <w:sz w:val="32"/>
          <w:szCs w:val="32"/>
        </w:rPr>
        <w:t>一是专题研究部署解决法治政府建设重大问题的工作机制不够系统、全面；二是乡村法律顾问工作机制的发挥不够充分，其工作内容、流程、考评等缺乏统一标准和要求。</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（三）执法人员力量有待充实。</w:t>
      </w:r>
      <w:r>
        <w:rPr>
          <w:rFonts w:hint="eastAsia" w:ascii="仿宋" w:hAnsi="仿宋" w:eastAsia="仿宋" w:cs="仿宋"/>
          <w:sz w:val="32"/>
          <w:szCs w:val="32"/>
        </w:rPr>
        <w:t>现有行政执法人员为乡镇公务员，自身工作繁忙、执法多为兼职，专业能力素质不强，存在人岗不适现象，执法实践中涉及专业性较强的执法领域，往往执法效果不佳。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存在问题的主要原因有以下三点：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）思想认识不到位。</w:t>
      </w:r>
      <w:r>
        <w:rPr>
          <w:rFonts w:hint="eastAsia" w:ascii="仿宋" w:hAnsi="仿宋" w:eastAsia="仿宋" w:cs="仿宋"/>
          <w:sz w:val="32"/>
          <w:szCs w:val="32"/>
        </w:rPr>
        <w:t>部分党员干部对全面依法治国和法治政府建设的学习不够深入、认识不够到位。在组织干部职工学习全面依法治国理念推进法治政府建设的方式方法上创新不够，法治思维、依法执政、依法行政还没有真正做到入脑入心。</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）相关制度不完善。</w:t>
      </w:r>
      <w:r>
        <w:rPr>
          <w:rFonts w:hint="eastAsia" w:ascii="仿宋" w:hAnsi="仿宋" w:eastAsia="仿宋" w:cs="仿宋"/>
          <w:sz w:val="32"/>
          <w:szCs w:val="32"/>
        </w:rPr>
        <w:t>领导干部学法用法、重大行政决策、法律顾问、综合行政执法等制度需根据实际进一步完善细化并贯彻落实，县级部门应加强对</w:t>
      </w:r>
      <w:r>
        <w:rPr>
          <w:rFonts w:hint="eastAsia" w:ascii="仿宋" w:hAnsi="仿宋" w:eastAsia="仿宋" w:cs="仿宋"/>
          <w:sz w:val="32"/>
          <w:szCs w:val="32"/>
          <w:lang w:eastAsia="zh-CN"/>
        </w:rPr>
        <w:t>乡</w:t>
      </w:r>
      <w:r>
        <w:rPr>
          <w:rFonts w:hint="eastAsia" w:ascii="仿宋" w:hAnsi="仿宋" w:eastAsia="仿宋" w:cs="仿宋"/>
          <w:sz w:val="32"/>
          <w:szCs w:val="32"/>
        </w:rPr>
        <w:t>级层面执法工作的业务指导，健全“乡镇吹哨，部门报到”制度。</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）专业人才不健全。</w:t>
      </w:r>
      <w:r>
        <w:rPr>
          <w:rFonts w:hint="eastAsia" w:ascii="仿宋" w:hAnsi="仿宋" w:eastAsia="仿宋" w:cs="仿宋"/>
          <w:sz w:val="32"/>
          <w:szCs w:val="32"/>
        </w:rPr>
        <w:t>法治建设需要的专业人才，虽然</w:t>
      </w:r>
      <w:r>
        <w:rPr>
          <w:rFonts w:hint="eastAsia" w:ascii="仿宋" w:hAnsi="仿宋" w:eastAsia="仿宋" w:cs="仿宋"/>
          <w:sz w:val="32"/>
          <w:szCs w:val="32"/>
          <w:lang w:eastAsia="zh-CN"/>
        </w:rPr>
        <w:t>乡、</w:t>
      </w:r>
      <w:r>
        <w:rPr>
          <w:rFonts w:hint="eastAsia" w:ascii="仿宋" w:hAnsi="仿宋" w:eastAsia="仿宋" w:cs="仿宋"/>
          <w:sz w:val="32"/>
          <w:szCs w:val="32"/>
        </w:rPr>
        <w:t>村都确定了法律顾问，也对现有行政执法人员开展了培训，但由于人员编制不足、人员知识结构不合理、队伍整体素质偏低等问题，与建设法治政府的要求仍有差距。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三、党政主要负责人履行推进法治建设第一责任人职责，落实年度责任清单，加强法治政府建设的有关情况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赤石桥乡</w:t>
      </w:r>
      <w:r>
        <w:rPr>
          <w:rFonts w:hint="eastAsia" w:ascii="仿宋" w:hAnsi="仿宋" w:eastAsia="仿宋" w:cs="仿宋"/>
          <w:sz w:val="32"/>
          <w:szCs w:val="32"/>
        </w:rPr>
        <w:t>充分发挥党委在推进法治建设中的领导核心作用，把党的领导贯彻到法治政府建设的全过程和各方面。</w:t>
      </w:r>
      <w:r>
        <w:rPr>
          <w:rFonts w:hint="eastAsia" w:ascii="仿宋" w:hAnsi="仿宋" w:eastAsia="仿宋" w:cs="仿宋"/>
          <w:b/>
          <w:bCs/>
          <w:sz w:val="32"/>
          <w:szCs w:val="32"/>
        </w:rPr>
        <w:t>一是深入学习贯彻习近平法治思想。</w:t>
      </w:r>
      <w:r>
        <w:rPr>
          <w:rFonts w:hint="eastAsia" w:ascii="仿宋" w:hAnsi="仿宋" w:eastAsia="仿宋" w:cs="仿宋"/>
          <w:sz w:val="32"/>
          <w:szCs w:val="32"/>
        </w:rPr>
        <w:t>将习近平法治思想学习列入</w:t>
      </w:r>
      <w:r>
        <w:rPr>
          <w:rFonts w:hint="eastAsia" w:ascii="仿宋" w:hAnsi="仿宋" w:eastAsia="仿宋" w:cs="仿宋"/>
          <w:sz w:val="32"/>
          <w:szCs w:val="32"/>
          <w:lang w:eastAsia="zh-CN"/>
        </w:rPr>
        <w:t>乡党委</w:t>
      </w:r>
      <w:r>
        <w:rPr>
          <w:rFonts w:hint="eastAsia" w:ascii="仿宋" w:hAnsi="仿宋" w:eastAsia="仿宋" w:cs="仿宋"/>
          <w:sz w:val="32"/>
          <w:szCs w:val="32"/>
        </w:rPr>
        <w:t>理论学习中心组会议</w:t>
      </w:r>
      <w:r>
        <w:rPr>
          <w:rFonts w:hint="eastAsia" w:ascii="仿宋" w:hAnsi="仿宋" w:eastAsia="仿宋" w:cs="仿宋"/>
          <w:sz w:val="32"/>
          <w:szCs w:val="32"/>
          <w:lang w:eastAsia="zh-CN"/>
        </w:rPr>
        <w:t>、工作例会</w:t>
      </w:r>
      <w:r>
        <w:rPr>
          <w:rFonts w:hint="eastAsia" w:ascii="仿宋" w:hAnsi="仿宋" w:eastAsia="仿宋" w:cs="仿宋"/>
          <w:sz w:val="32"/>
          <w:szCs w:val="32"/>
        </w:rPr>
        <w:t>重点学习内容,组织专题学习</w:t>
      </w:r>
      <w:r>
        <w:rPr>
          <w:rFonts w:hint="eastAsia" w:ascii="仿宋" w:hAnsi="仿宋" w:eastAsia="仿宋" w:cs="仿宋"/>
          <w:sz w:val="32"/>
          <w:szCs w:val="32"/>
          <w:lang w:val="en-US" w:eastAsia="zh-CN"/>
        </w:rPr>
        <w:t>18</w:t>
      </w:r>
      <w:r>
        <w:rPr>
          <w:rFonts w:hint="eastAsia" w:ascii="仿宋" w:hAnsi="仿宋" w:eastAsia="仿宋" w:cs="仿宋"/>
          <w:sz w:val="32"/>
          <w:szCs w:val="32"/>
        </w:rPr>
        <w:t>次。举办</w:t>
      </w:r>
      <w:r>
        <w:rPr>
          <w:rFonts w:hint="eastAsia" w:ascii="仿宋" w:hAnsi="仿宋" w:eastAsia="仿宋" w:cs="仿宋"/>
          <w:sz w:val="32"/>
          <w:szCs w:val="32"/>
          <w:lang w:val="en-US" w:eastAsia="zh-CN"/>
        </w:rPr>
        <w:t>2期</w:t>
      </w:r>
      <w:r>
        <w:rPr>
          <w:rFonts w:hint="eastAsia" w:ascii="仿宋" w:hAnsi="仿宋" w:eastAsia="仿宋" w:cs="仿宋"/>
          <w:sz w:val="32"/>
          <w:szCs w:val="32"/>
        </w:rPr>
        <w:t>习近平法治思想、宪法专题讲座，覆盖全</w:t>
      </w:r>
      <w:r>
        <w:rPr>
          <w:rFonts w:hint="eastAsia" w:ascii="仿宋" w:hAnsi="仿宋" w:eastAsia="仿宋" w:cs="仿宋"/>
          <w:sz w:val="32"/>
          <w:szCs w:val="32"/>
          <w:lang w:eastAsia="zh-CN"/>
        </w:rPr>
        <w:t>乡党政领导干部及执法人员</w:t>
      </w:r>
      <w:r>
        <w:rPr>
          <w:rFonts w:hint="eastAsia" w:ascii="仿宋" w:hAnsi="仿宋" w:eastAsia="仿宋" w:cs="仿宋"/>
          <w:sz w:val="32"/>
          <w:szCs w:val="32"/>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党政主要负责人</w:t>
      </w:r>
      <w:r>
        <w:rPr>
          <w:rFonts w:hint="eastAsia" w:ascii="仿宋" w:hAnsi="仿宋" w:eastAsia="仿宋" w:cs="仿宋"/>
          <w:b/>
          <w:bCs/>
          <w:sz w:val="32"/>
          <w:szCs w:val="32"/>
          <w:lang w:eastAsia="zh-CN"/>
        </w:rPr>
        <w:t>专题述法，压实领导责任。</w:t>
      </w:r>
      <w:r>
        <w:rPr>
          <w:rFonts w:hint="eastAsia" w:ascii="仿宋" w:hAnsi="仿宋" w:eastAsia="仿宋" w:cs="仿宋"/>
          <w:b w:val="0"/>
          <w:bCs w:val="0"/>
          <w:sz w:val="32"/>
          <w:szCs w:val="32"/>
          <w:lang w:eastAsia="zh-CN"/>
        </w:rPr>
        <w:t>乡党委书记参加了县</w:t>
      </w:r>
      <w:r>
        <w:rPr>
          <w:rFonts w:hint="eastAsia" w:ascii="仿宋" w:hAnsi="仿宋" w:eastAsia="仿宋" w:cs="仿宋"/>
          <w:b w:val="0"/>
          <w:bCs w:val="0"/>
          <w:sz w:val="32"/>
          <w:szCs w:val="32"/>
          <w:lang w:val="en-US" w:eastAsia="zh-CN"/>
        </w:rPr>
        <w:t>2023年度党政主要负责人专题述法会议，从思想上、行动上进一步压紧压实了领导干部运用法治思维和法治方式开展工作、解决问题、推动工作的意识水平。</w:t>
      </w:r>
      <w:r>
        <w:rPr>
          <w:rFonts w:hint="eastAsia" w:ascii="仿宋" w:hAnsi="仿宋" w:eastAsia="仿宋" w:cs="仿宋"/>
          <w:b/>
          <w:bCs/>
          <w:sz w:val="32"/>
          <w:szCs w:val="32"/>
          <w:lang w:eastAsia="zh-CN"/>
        </w:rPr>
        <w:t>三是统筹推进法治政府建设工作科学规范。</w:t>
      </w:r>
      <w:r>
        <w:rPr>
          <w:rFonts w:hint="eastAsia" w:ascii="仿宋" w:hAnsi="仿宋" w:eastAsia="仿宋" w:cs="仿宋"/>
          <w:sz w:val="32"/>
          <w:szCs w:val="32"/>
        </w:rPr>
        <w:t>制定《党政主要负责人履行推进法治建设第一责任人职责规定》工作责任清单，党政主要负责人定期召开专题会议，部署本乡法治建设重点工作</w:t>
      </w:r>
      <w:r>
        <w:rPr>
          <w:rFonts w:hint="eastAsia" w:ascii="仿宋" w:hAnsi="仿宋" w:eastAsia="仿宋" w:cs="仿宋"/>
          <w:sz w:val="32"/>
          <w:szCs w:val="32"/>
          <w:lang w:val="en-US" w:eastAsia="zh-CN"/>
        </w:rPr>
        <w:t>2次</w:t>
      </w:r>
      <w:r>
        <w:rPr>
          <w:rFonts w:hint="eastAsia" w:ascii="仿宋" w:hAnsi="仿宋" w:eastAsia="仿宋" w:cs="仿宋"/>
          <w:sz w:val="32"/>
          <w:szCs w:val="32"/>
        </w:rPr>
        <w:t>，及时研究解决法治建设中重大问题，不断提升党领导全面依法治镇制度化、法治化水平；带头依法依规决策，督促领导班子成员和村级负责人依法依规办事；严格执行重大行政决策法定程序，建立健全法律顾问制度，充分发挥其在制定重大决策、推进依法执政、依法行政中的作用；定期组织召开全</w:t>
      </w:r>
      <w:r>
        <w:rPr>
          <w:rFonts w:hint="eastAsia" w:ascii="仿宋" w:hAnsi="仿宋" w:eastAsia="仿宋" w:cs="仿宋"/>
          <w:sz w:val="32"/>
          <w:szCs w:val="32"/>
          <w:lang w:eastAsia="zh-CN"/>
        </w:rPr>
        <w:t>乡</w:t>
      </w:r>
      <w:r>
        <w:rPr>
          <w:rFonts w:hint="eastAsia" w:ascii="仿宋" w:hAnsi="仿宋" w:eastAsia="仿宋" w:cs="仿宋"/>
          <w:sz w:val="32"/>
          <w:szCs w:val="32"/>
        </w:rPr>
        <w:t>综合行政执法会议</w:t>
      </w:r>
      <w:r>
        <w:rPr>
          <w:rFonts w:hint="eastAsia" w:ascii="仿宋" w:hAnsi="仿宋" w:eastAsia="仿宋" w:cs="仿宋"/>
          <w:sz w:val="32"/>
          <w:szCs w:val="32"/>
          <w:lang w:val="en-US" w:eastAsia="zh-CN"/>
        </w:rPr>
        <w:t>5次</w:t>
      </w:r>
      <w:r>
        <w:rPr>
          <w:rFonts w:hint="eastAsia" w:ascii="仿宋" w:hAnsi="仿宋" w:eastAsia="仿宋" w:cs="仿宋"/>
          <w:sz w:val="32"/>
          <w:szCs w:val="32"/>
        </w:rPr>
        <w:t>，研究部署行政执法工作任务，带头参与行政执法实践，推动落实“谁执法谁普法”责任；坚持重视法治素养和法治能力的用人导向，利用党委理论学习中心组和每周工作例会开展理论学习，加强法治工作队伍建设和清廉机关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四、本乡镇履行法院生效裁判情况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年以来，我</w:t>
      </w:r>
      <w:r>
        <w:rPr>
          <w:rFonts w:hint="eastAsia" w:ascii="仿宋" w:hAnsi="仿宋" w:eastAsia="仿宋" w:cs="仿宋"/>
          <w:sz w:val="32"/>
          <w:szCs w:val="32"/>
          <w:highlight w:val="none"/>
          <w:lang w:eastAsia="zh-CN"/>
        </w:rPr>
        <w:t>乡</w:t>
      </w:r>
      <w:r>
        <w:rPr>
          <w:rFonts w:hint="eastAsia" w:ascii="仿宋" w:hAnsi="仿宋" w:eastAsia="仿宋" w:cs="仿宋"/>
          <w:sz w:val="32"/>
          <w:szCs w:val="32"/>
          <w:highlight w:val="none"/>
        </w:rPr>
        <w:t>未收到法院的生效裁判。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五、202</w:t>
      </w:r>
      <w:r>
        <w:rPr>
          <w:rFonts w:hint="eastAsia" w:ascii="黑体" w:hAnsi="黑体" w:eastAsia="黑体" w:cs="黑体"/>
          <w:sz w:val="32"/>
          <w:szCs w:val="32"/>
          <w:lang w:val="en-US" w:eastAsia="zh-CN"/>
        </w:rPr>
        <w:t>4</w:t>
      </w:r>
      <w:r>
        <w:rPr>
          <w:rFonts w:hint="eastAsia" w:ascii="黑体" w:hAnsi="黑体" w:eastAsia="黑体" w:cs="黑体"/>
          <w:sz w:val="32"/>
          <w:szCs w:val="32"/>
        </w:rPr>
        <w:t>年法治政府建设工作计划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在今后的工作中，我</w:t>
      </w:r>
      <w:r>
        <w:rPr>
          <w:rFonts w:hint="eastAsia" w:ascii="仿宋" w:hAnsi="仿宋" w:eastAsia="仿宋" w:cs="仿宋"/>
          <w:sz w:val="32"/>
          <w:szCs w:val="32"/>
          <w:lang w:eastAsia="zh-CN"/>
        </w:rPr>
        <w:t>乡</w:t>
      </w:r>
      <w:r>
        <w:rPr>
          <w:rFonts w:hint="eastAsia" w:ascii="仿宋" w:hAnsi="仿宋" w:eastAsia="仿宋" w:cs="仿宋"/>
          <w:sz w:val="32"/>
          <w:szCs w:val="32"/>
        </w:rPr>
        <w:t>将紧扣法治政府建设要求，围绕中心、服务大局，着力抓好以下工作：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一是持续推进法治政府建设。</w:t>
      </w:r>
      <w:r>
        <w:rPr>
          <w:rFonts w:hint="eastAsia" w:ascii="仿宋" w:hAnsi="仿宋" w:eastAsia="仿宋" w:cs="仿宋"/>
          <w:sz w:val="32"/>
          <w:szCs w:val="32"/>
        </w:rPr>
        <w:t>认真贯彻《沁源县法治政府建设实施方案（2021-2025年）》《沁源县关于深入落实社会主义法治文化建设的实施方案》等文件精神，牢固树立法治思维，切实落实各项目标任务，健全常态化学法、领导干部述法、科学民主依法决策等制度，及时研究解决法治建设重大问题，坚持依法行政，加强法治政府建设。</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二是不断加强法治乡村建设。</w:t>
      </w:r>
      <w:r>
        <w:rPr>
          <w:rFonts w:hint="eastAsia" w:ascii="仿宋" w:hAnsi="仿宋" w:eastAsia="仿宋" w:cs="仿宋"/>
          <w:sz w:val="32"/>
          <w:szCs w:val="32"/>
        </w:rPr>
        <w:t>贯彻落实中央《关于加强法治乡村建设的意见》，继续开展“民主法治示范村（社区）”创建活动，实施农村“法律明白人”培养工程，培养一批以村“两委”成员、人民调解员、村民小组长为重点的“法律明白人”。充分发挥综治员、网格员、</w:t>
      </w:r>
      <w:r>
        <w:rPr>
          <w:rFonts w:hint="eastAsia" w:ascii="仿宋" w:hAnsi="仿宋" w:eastAsia="仿宋" w:cs="仿宋"/>
          <w:sz w:val="32"/>
          <w:szCs w:val="32"/>
          <w:lang w:val="en-US" w:eastAsia="zh-CN"/>
        </w:rPr>
        <w:t>到村工作大学生</w:t>
      </w:r>
      <w:r>
        <w:rPr>
          <w:rFonts w:hint="eastAsia" w:ascii="仿宋" w:hAnsi="仿宋" w:eastAsia="仿宋" w:cs="仿宋"/>
          <w:sz w:val="32"/>
          <w:szCs w:val="32"/>
        </w:rPr>
        <w:t>的力量，健全法治工作队伍，提升法治建设工作质量。</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三是继续抓好法治宣传教育。</w:t>
      </w:r>
      <w:r>
        <w:rPr>
          <w:rFonts w:hint="eastAsia" w:ascii="仿宋" w:hAnsi="仿宋" w:eastAsia="仿宋" w:cs="仿宋"/>
          <w:sz w:val="32"/>
          <w:szCs w:val="32"/>
        </w:rPr>
        <w:t>大力弘扬宪法精神，广泛开展民法典等普法工作，突出学习宣传习近平法治思想，定期开展法治宣传教育培训及法治教育讲座；坚持“边执法、边普法”，引导各生产经营单位遵法守法学法用法；采取集中宣讲、抖音直播、大喇叭广播、微信转发、电子屏滚动等方式，全面推进“八五”普法进学校、进农村、进网络，提升全民法律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六、对全县法治政府建设意见建议</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一要强化法律遵循</w:t>
      </w:r>
      <w:r>
        <w:rPr>
          <w:rFonts w:hint="eastAsia" w:ascii="楷体" w:hAnsi="楷体" w:eastAsia="楷体" w:cs="楷体"/>
          <w:b/>
          <w:bCs/>
          <w:sz w:val="32"/>
          <w:szCs w:val="32"/>
          <w:lang w:eastAsia="zh-CN"/>
        </w:rPr>
        <w:t>。</w:t>
      </w:r>
      <w:r>
        <w:rPr>
          <w:rFonts w:hint="eastAsia" w:ascii="仿宋" w:hAnsi="仿宋" w:eastAsia="仿宋" w:cs="仿宋"/>
          <w:sz w:val="32"/>
          <w:szCs w:val="32"/>
        </w:rPr>
        <w:t>切实加强对公职人员特别是领导干部的法治教育，完善和实施国家机关“谁执法谁普法”责任制。</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二要强化队伍建设。</w:t>
      </w:r>
      <w:r>
        <w:rPr>
          <w:rFonts w:hint="eastAsia" w:ascii="仿宋" w:hAnsi="仿宋" w:eastAsia="仿宋" w:cs="仿宋"/>
          <w:sz w:val="32"/>
          <w:szCs w:val="32"/>
        </w:rPr>
        <w:t>严格行政执法人员资格审查、证件管理和培训考核，提升乡镇司法所执法监督参与度，加强法律顾问和公职律师队伍建设。</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三要强化督查考核</w:t>
      </w:r>
      <w:r>
        <w:rPr>
          <w:rFonts w:hint="eastAsia" w:ascii="楷体" w:hAnsi="楷体" w:eastAsia="楷体" w:cs="楷体"/>
          <w:b/>
          <w:bCs/>
          <w:sz w:val="32"/>
          <w:szCs w:val="32"/>
          <w:lang w:eastAsia="zh-CN"/>
        </w:rPr>
        <w:t>。</w:t>
      </w:r>
      <w:r>
        <w:rPr>
          <w:rFonts w:hint="eastAsia" w:ascii="仿宋" w:hAnsi="仿宋" w:eastAsia="仿宋" w:cs="仿宋"/>
          <w:sz w:val="32"/>
          <w:szCs w:val="32"/>
        </w:rPr>
        <w:t>定期对各单位、各部门法治政府建设工作情况开展监督检查，督促履行法治政府建设职责。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七、其他需要报告的重要事项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中共赤石桥乡委员</w:t>
      </w:r>
      <w:r>
        <w:rPr>
          <w:rFonts w:hint="eastAsia" w:ascii="仿宋" w:hAnsi="仿宋" w:eastAsia="仿宋" w:cs="仿宋"/>
          <w:spacing w:val="6"/>
          <w:sz w:val="32"/>
          <w:szCs w:val="32"/>
          <w:lang w:eastAsia="zh-CN"/>
        </w:rPr>
        <w:t>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lang w:eastAsia="zh-CN"/>
        </w:rPr>
      </w:pPr>
      <w:r>
        <w:rPr>
          <w:rFonts w:hint="eastAsia" w:ascii="仿宋" w:hAnsi="仿宋" w:eastAsia="仿宋" w:cs="仿宋"/>
          <w:spacing w:val="34"/>
          <w:sz w:val="32"/>
          <w:szCs w:val="32"/>
          <w:lang w:eastAsia="zh-CN"/>
        </w:rPr>
        <w:t xml:space="preserve">                        赤石桥乡人民政府</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5120" w:firstLineChars="1600"/>
        <w:jc w:val="both"/>
        <w:textAlignment w:val="auto"/>
        <w:rPr>
          <w:rFonts w:hint="eastAsia" w:ascii="Calibri" w:hAnsi="Calibri" w:eastAsia="宋体" w:cs="Times New Roman"/>
          <w:kern w:val="2"/>
          <w:sz w:val="21"/>
          <w:szCs w:val="24"/>
          <w:lang w:val="en-US" w:eastAsia="zh-CN" w:bidi="ar-SA"/>
        </w:rPr>
      </w:pPr>
      <w:r>
        <w:rPr>
          <w:rFonts w:hint="eastAsia" w:ascii="仿宋" w:hAnsi="仿宋" w:eastAsia="仿宋" w:cs="仿宋"/>
          <w:kern w:val="2"/>
          <w:sz w:val="32"/>
          <w:szCs w:val="32"/>
          <w:lang w:val="en-US" w:eastAsia="zh-CN" w:bidi="ar-SA"/>
        </w:rPr>
        <w:t>2024年3月13日</w:t>
      </w:r>
    </w:p>
    <w:sectPr>
      <w:pgSz w:w="11906" w:h="16838"/>
      <w:pgMar w:top="1440" w:right="1474" w:bottom="1440" w:left="147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48AFB-CC13-4DEA-814D-B6A2A798FE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A7A3BA-E77A-4D5B-A484-9748788033C7}"/>
  </w:font>
  <w:font w:name="仿宋_GB2312">
    <w:altName w:val="仿宋"/>
    <w:panose1 w:val="02010609030101010101"/>
    <w:charset w:val="86"/>
    <w:family w:val="roman"/>
    <w:pitch w:val="default"/>
    <w:sig w:usb0="00000000" w:usb1="00000000" w:usb2="00000000" w:usb3="00000000" w:csb0="00040000" w:csb1="00000000"/>
    <w:embedRegular r:id="rId3" w:fontKey="{9B7D375A-22BD-4A01-9F96-4277D54A5A16}"/>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AEC6322C-A8B4-4FAD-AD92-18FBE2E7A101}"/>
  </w:font>
  <w:font w:name="仿宋">
    <w:panose1 w:val="02010609060101010101"/>
    <w:charset w:val="86"/>
    <w:family w:val="auto"/>
    <w:pitch w:val="default"/>
    <w:sig w:usb0="800002BF" w:usb1="38CF7CFA" w:usb2="00000016" w:usb3="00000000" w:csb0="00040001" w:csb1="00000000"/>
    <w:embedRegular r:id="rId5" w:fontKey="{FED1E516-4C9A-4D3B-9D98-28E280EF1270}"/>
  </w:font>
  <w:font w:name="楷体">
    <w:panose1 w:val="02010609060101010101"/>
    <w:charset w:val="7A"/>
    <w:family w:val="auto"/>
    <w:pitch w:val="default"/>
    <w:sig w:usb0="800002BF" w:usb1="38CF7CFA" w:usb2="00000016" w:usb3="00000000" w:csb0="00040001" w:csb1="00000000"/>
    <w:embedRegular r:id="rId6" w:fontKey="{42DBF580-EB9A-4675-B8FC-450C8D1ED863}"/>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1A2457D1-5C90-4EF8-83D5-D2184AC923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TJhM2UxNTgwOGZjNWQxYjJiMTYzMmU0OWY1YzIifQ=="/>
  </w:docVars>
  <w:rsids>
    <w:rsidRoot w:val="00000000"/>
    <w:rsid w:val="61635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Lines="0"/>
      <w:ind w:left="420" w:leftChars="200"/>
    </w:pPr>
  </w:style>
  <w:style w:type="paragraph" w:styleId="3">
    <w:name w:val="Body Text Indent 2"/>
    <w:qFormat/>
    <w:uiPriority w:val="0"/>
    <w:pPr>
      <w:widowControl w:val="0"/>
      <w:ind w:firstLine="538" w:firstLineChars="168"/>
      <w:jc w:val="both"/>
    </w:pPr>
    <w:rPr>
      <w:rFonts w:ascii="仿宋_GB2312" w:hAnsi="宋体" w:eastAsia="仿宋_GB2312" w:cstheme="minorBidi"/>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val="0"/>
      <w:spacing w:before="240" w:after="60"/>
      <w:jc w:val="both"/>
      <w:textAlignment w:val="baseline"/>
    </w:pPr>
    <w:rPr>
      <w:rFonts w:ascii="Arial" w:hAnsi="Arial" w:eastAsia="宋体" w:cs="Arial"/>
      <w:bCs/>
      <w:kern w:val="2"/>
      <w:sz w:val="21"/>
      <w:szCs w:val="32"/>
      <w:lang w:val="en-US" w:eastAsia="zh-CN" w:bidi="ar-SA"/>
    </w:rPr>
  </w:style>
  <w:style w:type="paragraph" w:styleId="7">
    <w:name w:val="Body Text First Indent 2"/>
    <w:qFormat/>
    <w:uiPriority w:val="0"/>
    <w:pPr>
      <w:widowControl w:val="0"/>
      <w:spacing w:after="120" w:afterLines="0" w:afterAutospacing="0" w:line="360" w:lineRule="auto"/>
      <w:ind w:left="420" w:leftChars="200" w:firstLine="200" w:firstLineChars="200"/>
      <w:jc w:val="both"/>
    </w:pPr>
    <w:rPr>
      <w:rFonts w:ascii="Calibri" w:hAnsi="Calibri" w:eastAsia="仿宋_GB2312" w:cs="黑体"/>
      <w:kern w:val="2"/>
      <w:sz w:val="30"/>
      <w:szCs w:val="2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3"/>
    <w:basedOn w:val="1"/>
    <w:next w:val="1"/>
    <w:qFormat/>
    <w:uiPriority w:val="99"/>
    <w:pPr>
      <w:keepNext/>
      <w:keepLines/>
      <w:spacing w:before="260" w:after="260" w:line="416" w:lineRule="auto"/>
    </w:pPr>
    <w:rPr>
      <w:rFonts w:ascii="Times New Roman" w:hAnsi="Times New Roman"/>
      <w:b/>
      <w:bCs/>
      <w:sz w:val="32"/>
      <w:szCs w:val="32"/>
    </w:rPr>
  </w:style>
  <w:style w:type="paragraph" w:customStyle="1" w:styleId="12">
    <w:name w:val="No Spacing_ad81b47b-6779-4c76-b471-79375858c8cb"/>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3697</Words>
  <Characters>3771</Characters>
  <Lines>0</Lines>
  <Paragraphs>0</Paragraphs>
  <TotalTime>0</TotalTime>
  <ScaleCrop>false</ScaleCrop>
  <LinksUpToDate>false</LinksUpToDate>
  <CharactersWithSpaces>3819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2020-01-03T08:31:00Z</dcterms:created>
  <dc:creator>Administrator</dc:creator>
  <cp:lastModifiedBy>简单快乐</cp:lastModifiedBy>
  <cp:lastPrinted>2024-02-22T07:50:00Z</cp:lastPrinted>
  <dcterms:modified xsi:type="dcterms:W3CDTF">2024-05-23T01:28:11Z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70DF7617C5A04E9686D6488901A6493C_13</vt:lpwstr>
  </property>
</Properties>
</file>