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 w:afterAutospacing="0"/>
        <w:ind w:left="0" w:right="0"/>
        <w:jc w:val="center"/>
        <w:rPr>
          <w:rFonts w:ascii="微软雅黑" w:hAnsi="微软雅黑" w:eastAsia="微软雅黑" w:cs="微软雅黑"/>
          <w:color w:val="444444"/>
          <w:sz w:val="37"/>
          <w:szCs w:val="37"/>
        </w:rPr>
      </w:pPr>
      <w:r>
        <w:rPr>
          <w:rFonts w:hint="eastAsia" w:ascii="微软雅黑" w:hAnsi="微软雅黑" w:eastAsia="微软雅黑" w:cs="微软雅黑"/>
          <w:i w:val="0"/>
          <w:iCs w:val="0"/>
          <w:caps w:val="0"/>
          <w:color w:val="444444"/>
          <w:spacing w:val="0"/>
          <w:sz w:val="37"/>
          <w:szCs w:val="37"/>
        </w:rPr>
        <w:t>沁源县汽车客运中心有限公司202</w:t>
      </w:r>
      <w:r>
        <w:rPr>
          <w:rFonts w:hint="eastAsia" w:ascii="微软雅黑" w:hAnsi="微软雅黑" w:eastAsia="微软雅黑" w:cs="微软雅黑"/>
          <w:i w:val="0"/>
          <w:iCs w:val="0"/>
          <w:caps w:val="0"/>
          <w:color w:val="444444"/>
          <w:spacing w:val="0"/>
          <w:sz w:val="37"/>
          <w:szCs w:val="37"/>
          <w:lang w:val="en-US" w:eastAsia="zh-CN"/>
        </w:rPr>
        <w:t>2</w:t>
      </w:r>
      <w:r>
        <w:rPr>
          <w:rFonts w:hint="eastAsia" w:ascii="微软雅黑" w:hAnsi="微软雅黑" w:eastAsia="微软雅黑" w:cs="微软雅黑"/>
          <w:i w:val="0"/>
          <w:iCs w:val="0"/>
          <w:caps w:val="0"/>
          <w:color w:val="444444"/>
          <w:spacing w:val="0"/>
          <w:sz w:val="37"/>
          <w:szCs w:val="37"/>
        </w:rPr>
        <w:t>年政府信息公开年度报告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沁源县汽车客运中心有限公司202</w:t>
      </w:r>
      <w:r>
        <w:rPr>
          <w:rFonts w:hint="eastAsia" w:ascii="宋体" w:hAnsi="宋体" w:eastAsia="宋体" w:cs="宋体"/>
          <w:i w:val="0"/>
          <w:iCs w:val="0"/>
          <w:caps w:val="0"/>
          <w:color w:val="333333"/>
          <w:spacing w:val="0"/>
          <w:sz w:val="28"/>
          <w:szCs w:val="28"/>
          <w:lang w:val="en-US" w:eastAsia="zh-CN"/>
        </w:rPr>
        <w:t>2</w:t>
      </w:r>
      <w:r>
        <w:rPr>
          <w:rFonts w:hint="eastAsia" w:ascii="宋体" w:hAnsi="宋体" w:eastAsia="宋体" w:cs="宋体"/>
          <w:i w:val="0"/>
          <w:iCs w:val="0"/>
          <w:caps w:val="0"/>
          <w:color w:val="333333"/>
          <w:spacing w:val="0"/>
          <w:sz w:val="28"/>
          <w:szCs w:val="28"/>
        </w:rPr>
        <w:t>年政府信息公开年度报告 本年度报告是根据《中华人民共和国政府信息公开条例》的要求，由沁源县客运中心编制而成。报告中所列数据的统计时限为202</w:t>
      </w:r>
      <w:r>
        <w:rPr>
          <w:rFonts w:hint="eastAsia" w:ascii="宋体" w:hAnsi="宋体" w:eastAsia="宋体" w:cs="宋体"/>
          <w:i w:val="0"/>
          <w:iCs w:val="0"/>
          <w:caps w:val="0"/>
          <w:color w:val="333333"/>
          <w:spacing w:val="0"/>
          <w:sz w:val="28"/>
          <w:szCs w:val="28"/>
          <w:lang w:val="en-US" w:eastAsia="zh-CN"/>
        </w:rPr>
        <w:t>2</w:t>
      </w:r>
      <w:r>
        <w:rPr>
          <w:rFonts w:hint="eastAsia" w:ascii="宋体" w:hAnsi="宋体" w:eastAsia="宋体" w:cs="宋体"/>
          <w:i w:val="0"/>
          <w:iCs w:val="0"/>
          <w:caps w:val="0"/>
          <w:color w:val="333333"/>
          <w:spacing w:val="0"/>
          <w:sz w:val="28"/>
          <w:szCs w:val="28"/>
        </w:rPr>
        <w:t>年1月1日起至202</w:t>
      </w:r>
      <w:r>
        <w:rPr>
          <w:rFonts w:hint="eastAsia" w:ascii="宋体" w:hAnsi="宋体" w:eastAsia="宋体" w:cs="宋体"/>
          <w:i w:val="0"/>
          <w:iCs w:val="0"/>
          <w:caps w:val="0"/>
          <w:color w:val="333333"/>
          <w:spacing w:val="0"/>
          <w:sz w:val="28"/>
          <w:szCs w:val="28"/>
          <w:lang w:val="en-US" w:eastAsia="zh-CN"/>
        </w:rPr>
        <w:t>2</w:t>
      </w:r>
      <w:r>
        <w:rPr>
          <w:rFonts w:hint="eastAsia" w:ascii="宋体" w:hAnsi="宋体" w:eastAsia="宋体" w:cs="宋体"/>
          <w:i w:val="0"/>
          <w:iCs w:val="0"/>
          <w:caps w:val="0"/>
          <w:color w:val="333333"/>
          <w:spacing w:val="0"/>
          <w:sz w:val="28"/>
          <w:szCs w:val="28"/>
        </w:rPr>
        <w:t>年12月31日止。报告通过沁源县人民政府门户网站给予公布。（地址：沁源县人民路南段，邮编：046500,联系电话：0355-7832102电子邮箱qykyzx@163.com）。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202</w:t>
      </w:r>
      <w:r>
        <w:rPr>
          <w:rFonts w:hint="eastAsia" w:ascii="宋体" w:hAnsi="宋体" w:eastAsia="宋体" w:cs="宋体"/>
          <w:i w:val="0"/>
          <w:iCs w:val="0"/>
          <w:caps w:val="0"/>
          <w:color w:val="333333"/>
          <w:spacing w:val="0"/>
          <w:sz w:val="28"/>
          <w:szCs w:val="28"/>
          <w:lang w:val="en-US" w:eastAsia="zh-CN"/>
        </w:rPr>
        <w:t>2</w:t>
      </w:r>
      <w:r>
        <w:rPr>
          <w:rFonts w:hint="eastAsia" w:ascii="宋体" w:hAnsi="宋体" w:eastAsia="宋体" w:cs="宋体"/>
          <w:i w:val="0"/>
          <w:iCs w:val="0"/>
          <w:caps w:val="0"/>
          <w:color w:val="333333"/>
          <w:spacing w:val="0"/>
          <w:sz w:val="28"/>
          <w:szCs w:val="28"/>
        </w:rPr>
        <w:t>年，山西省沁源县客运中心以习近平新时代中国特色社会主义思想为指导，深入贯彻习近平总书记视察山西重要讲话重要指示，严格执行《中华人民共和国政府信息公开条例》有关规定，加强政府信息公开工作管理，不断提高政府信息公开工作质量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1．配强工作力量，健全工作机制。根据《条例》要求，安排专人负责政府信息公开工作，积极参加政府信息公开工作培训，及时整改网站督查中发现的问题。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2．深化主动公开内容。202</w:t>
      </w:r>
      <w:r>
        <w:rPr>
          <w:rFonts w:hint="eastAsia" w:ascii="宋体" w:hAnsi="宋体" w:eastAsia="宋体" w:cs="宋体"/>
          <w:i w:val="0"/>
          <w:iCs w:val="0"/>
          <w:caps w:val="0"/>
          <w:color w:val="333333"/>
          <w:spacing w:val="0"/>
          <w:sz w:val="28"/>
          <w:szCs w:val="28"/>
          <w:lang w:val="en-US" w:eastAsia="zh-CN"/>
        </w:rPr>
        <w:t>2</w:t>
      </w:r>
      <w:r>
        <w:rPr>
          <w:rFonts w:hint="eastAsia" w:ascii="宋体" w:hAnsi="宋体" w:eastAsia="宋体" w:cs="宋体"/>
          <w:i w:val="0"/>
          <w:iCs w:val="0"/>
          <w:caps w:val="0"/>
          <w:color w:val="333333"/>
          <w:spacing w:val="0"/>
          <w:sz w:val="28"/>
          <w:szCs w:val="28"/>
        </w:rPr>
        <w:t>年全年发布信息公开年度报告1条，便民信息3条。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3．完善政府信息公开平台建设。严格执行信息发布审核校对制度，政府公开信息经分管领导审核后发布。今年政府网站改版升级后，完善政府信息公开指南，规范栏目设置，保证政府信息公开网站正常运行。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iCs w:val="0"/>
          <w:caps w:val="0"/>
          <w:color w:val="333333"/>
          <w:spacing w:val="0"/>
          <w:sz w:val="28"/>
          <w:szCs w:val="28"/>
        </w:rPr>
      </w:pPr>
      <w:r>
        <w:rPr>
          <w:rStyle w:val="6"/>
          <w:rFonts w:hint="eastAsia" w:ascii="宋体" w:hAnsi="宋体" w:eastAsia="宋体" w:cs="宋体"/>
          <w:i w:val="0"/>
          <w:iCs w:val="0"/>
          <w:caps w:val="0"/>
          <w:color w:val="333333"/>
          <w:spacing w:val="0"/>
          <w:sz w:val="28"/>
          <w:szCs w:val="28"/>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54"/>
        <w:gridCol w:w="2137"/>
        <w:gridCol w:w="2162"/>
        <w:gridCol w:w="217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信息内容</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本年制发件数</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本年废止件数</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规章</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行政规范性文件</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信息内容</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行政许可</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行政处罚</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行政强制</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信息内容</w:t>
            </w:r>
          </w:p>
        </w:tc>
        <w:tc>
          <w:tcPr>
            <w:tcW w:w="7305"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行政事业性收费</w:t>
            </w:r>
          </w:p>
        </w:tc>
        <w:tc>
          <w:tcPr>
            <w:tcW w:w="7305"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                             0 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8"/>
          <w:szCs w:val="28"/>
        </w:rPr>
      </w:pPr>
      <w:r>
        <w:rPr>
          <w:rStyle w:val="6"/>
          <w:rFonts w:hint="eastAsia" w:ascii="宋体" w:hAnsi="宋体" w:eastAsia="宋体" w:cs="宋体"/>
          <w:i w:val="0"/>
          <w:iCs w:val="0"/>
          <w:caps w:val="0"/>
          <w:color w:val="333333"/>
          <w:spacing w:val="0"/>
          <w:sz w:val="28"/>
          <w:szCs w:val="28"/>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8"/>
        <w:gridCol w:w="893"/>
        <w:gridCol w:w="2606"/>
        <w:gridCol w:w="609"/>
        <w:gridCol w:w="609"/>
        <w:gridCol w:w="609"/>
        <w:gridCol w:w="609"/>
        <w:gridCol w:w="609"/>
        <w:gridCol w:w="609"/>
        <w:gridCol w:w="61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vMerge w:val="restart"/>
            <w:tcBorders>
              <w:top w:val="single" w:color="auto" w:sz="6" w:space="0"/>
              <w:left w:val="single" w:color="auto" w:sz="6" w:space="0"/>
              <w:bottom w:val="outset"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ascii="楷体" w:hAnsi="楷体" w:eastAsia="楷体" w:cs="楷体"/>
                <w:color w:val="333333"/>
                <w:sz w:val="20"/>
                <w:szCs w:val="20"/>
              </w:rPr>
              <w:t>（本列数据的勾稽关系为：第一项加第二项之和，等于第三项加第四项之和）</w:t>
            </w:r>
          </w:p>
        </w:tc>
        <w:tc>
          <w:tcPr>
            <w:tcW w:w="4995" w:type="dxa"/>
            <w:gridSpan w:val="7"/>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720"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自然人</w:t>
            </w:r>
          </w:p>
        </w:tc>
        <w:tc>
          <w:tcPr>
            <w:tcW w:w="3570" w:type="dxa"/>
            <w:gridSpan w:val="5"/>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法人或其他组织</w:t>
            </w:r>
          </w:p>
        </w:tc>
        <w:tc>
          <w:tcPr>
            <w:tcW w:w="720" w:type="dxa"/>
            <w:vMerge w:val="restart"/>
            <w:tcBorders>
              <w:top w:val="single" w:color="auto" w:sz="6" w:space="0"/>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720"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企业</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机构</w:t>
            </w:r>
          </w:p>
        </w:tc>
        <w:tc>
          <w:tcPr>
            <w:tcW w:w="72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社会公益组织</w:t>
            </w:r>
          </w:p>
        </w:tc>
        <w:tc>
          <w:tcPr>
            <w:tcW w:w="72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法律服务机构</w:t>
            </w:r>
          </w:p>
        </w:tc>
        <w:tc>
          <w:tcPr>
            <w:tcW w:w="72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其他</w:t>
            </w:r>
          </w:p>
        </w:tc>
        <w:tc>
          <w:tcPr>
            <w:tcW w:w="720" w:type="dxa"/>
            <w:vMerge w:val="continue"/>
            <w:tcBorders>
              <w:top w:val="single" w:color="auto" w:sz="6" w:space="0"/>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一、本年新收政府信息公开申请数量</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二、上年结转政府信息公开申请数量</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restart"/>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三、本年度办理结果</w:t>
            </w:r>
          </w:p>
        </w:tc>
        <w:tc>
          <w:tcPr>
            <w:tcW w:w="436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（一）予以公开</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436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（二）部分公开</w:t>
            </w:r>
            <w:r>
              <w:rPr>
                <w:rFonts w:hint="eastAsia" w:ascii="楷体" w:hAnsi="楷体" w:eastAsia="楷体" w:cs="楷体"/>
                <w:color w:val="333333"/>
                <w:sz w:val="20"/>
                <w:szCs w:val="20"/>
              </w:rPr>
              <w:t>（区分处理的，只计这一情形，不计其他情形）</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（三）不予公开</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1.属于国家秘密</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2.其他法律行政法规禁止公开</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3.危及“三安全一稳定”</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4.保护第三方合法权益</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5.属于三类内部事务信息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6.属于四类过程性信息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7.属于行政执法案卷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8.属于行政查询事项</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（四）无法提供</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1.本机关不掌握相关政府信息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2.没有现成信息需要另行制作</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3.补正后申请内容仍不明确</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（五）不予处理</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1.信访举报投诉类申请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2.重复申请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3.要求提供公开出版物</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4.无正当理由大量反复申请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both"/>
              <w:rPr>
                <w:rFonts w:hint="eastAsia" w:ascii="宋体" w:hAnsi="宋体" w:eastAsia="宋体" w:cs="宋体"/>
                <w:color w:val="333333"/>
                <w:sz w:val="28"/>
                <w:szCs w:val="28"/>
              </w:rPr>
            </w:pPr>
            <w:r>
              <w:rPr>
                <w:rFonts w:hint="eastAsia" w:ascii="宋体" w:hAnsi="宋体" w:eastAsia="宋体" w:cs="宋体"/>
                <w:color w:val="333333"/>
                <w:sz w:val="20"/>
                <w:szCs w:val="20"/>
              </w:rPr>
              <w:t>5.要求行政机关确认或重新出具已获取信息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（六）其他处理</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both"/>
              <w:rPr>
                <w:rFonts w:hint="eastAsia" w:ascii="宋体" w:hAnsi="宋体" w:eastAsia="宋体" w:cs="宋体"/>
                <w:color w:val="333333"/>
                <w:sz w:val="28"/>
                <w:szCs w:val="28"/>
              </w:rPr>
            </w:pPr>
            <w:r>
              <w:rPr>
                <w:rFonts w:hint="eastAsia" w:ascii="宋体" w:hAnsi="宋体" w:eastAsia="宋体" w:cs="宋体"/>
                <w:color w:val="333333"/>
                <w:sz w:val="20"/>
                <w:szCs w:val="20"/>
              </w:rPr>
              <w:t>1.申请人无正当理由逾期不补正、行政机关不再处理其政府信息公开申请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both"/>
              <w:rPr>
                <w:rFonts w:hint="eastAsia" w:ascii="宋体" w:hAnsi="宋体" w:eastAsia="宋体" w:cs="宋体"/>
                <w:color w:val="333333"/>
                <w:sz w:val="28"/>
                <w:szCs w:val="28"/>
              </w:rPr>
            </w:pPr>
            <w:r>
              <w:rPr>
                <w:rFonts w:hint="eastAsia" w:ascii="宋体" w:hAnsi="宋体" w:eastAsia="宋体" w:cs="宋体"/>
                <w:color w:val="333333"/>
                <w:sz w:val="20"/>
                <w:szCs w:val="20"/>
              </w:rPr>
              <w:t>2.申请人逾期未按收费通知要求缴纳费用、行政机关不再处理其政府信息公开申请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3.其他</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2"/>
                <w:szCs w:val="22"/>
              </w:rPr>
            </w:pPr>
          </w:p>
        </w:tc>
        <w:tc>
          <w:tcPr>
            <w:tcW w:w="436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（七）总计</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8"/>
                <w:szCs w:val="28"/>
              </w:rPr>
            </w:pPr>
            <w:r>
              <w:rPr>
                <w:rFonts w:hint="eastAsia" w:ascii="宋体" w:hAnsi="宋体" w:eastAsia="宋体" w:cs="宋体"/>
                <w:color w:val="333333"/>
                <w:sz w:val="20"/>
                <w:szCs w:val="20"/>
              </w:rPr>
              <w:t>四、结转下年度继续办理</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8"/>
          <w:szCs w:val="28"/>
        </w:rPr>
      </w:pPr>
      <w:r>
        <w:rPr>
          <w:rStyle w:val="6"/>
          <w:rFonts w:hint="eastAsia" w:ascii="宋体" w:hAnsi="宋体" w:eastAsia="宋体" w:cs="宋体"/>
          <w:i w:val="0"/>
          <w:iCs w:val="0"/>
          <w:caps w:val="0"/>
          <w:color w:val="333333"/>
          <w:spacing w:val="0"/>
          <w:sz w:val="28"/>
          <w:szCs w:val="28"/>
          <w:shd w:val="clear" w:fill="FFFFFF"/>
        </w:rPr>
        <w:t>四、政府信息公开行政复议、行政诉讼情况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7"/>
        <w:gridCol w:w="567"/>
        <w:gridCol w:w="567"/>
        <w:gridCol w:w="567"/>
        <w:gridCol w:w="568"/>
        <w:gridCol w:w="568"/>
        <w:gridCol w:w="568"/>
        <w:gridCol w:w="568"/>
        <w:gridCol w:w="568"/>
        <w:gridCol w:w="568"/>
        <w:gridCol w:w="568"/>
        <w:gridCol w:w="568"/>
        <w:gridCol w:w="568"/>
        <w:gridCol w:w="568"/>
        <w:gridCol w:w="56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行政复议</w:t>
            </w:r>
          </w:p>
        </w:tc>
        <w:tc>
          <w:tcPr>
            <w:tcW w:w="643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4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结果维持</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结果</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纠正</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其他</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结果</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尚未</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审结</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总计</w:t>
            </w:r>
          </w:p>
        </w:tc>
        <w:tc>
          <w:tcPr>
            <w:tcW w:w="321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未经复议直接起诉</w:t>
            </w:r>
          </w:p>
        </w:tc>
        <w:tc>
          <w:tcPr>
            <w:tcW w:w="321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2"/>
                <w:szCs w:val="22"/>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结果</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结果</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其他</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结果</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尚未</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审结</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总计</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结果</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维持</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结果</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其他</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结果</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尚未</w:t>
            </w:r>
            <w:r>
              <w:rPr>
                <w:rFonts w:hint="eastAsia" w:ascii="微软雅黑" w:hAnsi="微软雅黑" w:eastAsia="微软雅黑" w:cs="微软雅黑"/>
                <w:color w:val="333333"/>
                <w:sz w:val="22"/>
                <w:szCs w:val="22"/>
              </w:rPr>
              <w:br w:type="textWrapping"/>
            </w:r>
            <w:r>
              <w:rPr>
                <w:rFonts w:hint="eastAsia" w:ascii="宋体" w:hAnsi="宋体" w:eastAsia="宋体" w:cs="宋体"/>
                <w:color w:val="333333"/>
                <w:sz w:val="20"/>
                <w:szCs w:val="20"/>
              </w:rPr>
              <w:t>审结</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8"/>
                <w:szCs w:val="28"/>
              </w:rPr>
            </w:pPr>
            <w:r>
              <w:rPr>
                <w:rFonts w:hint="eastAsia" w:ascii="宋体" w:hAnsi="宋体" w:eastAsia="宋体" w:cs="宋体"/>
                <w:color w:val="333333"/>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rPr>
          <w:rFonts w:hint="eastAsia" w:ascii="宋体" w:hAnsi="宋体" w:eastAsia="宋体" w:cs="宋体"/>
          <w:i w:val="0"/>
          <w:iCs w:val="0"/>
          <w:caps w:val="0"/>
          <w:color w:val="333333"/>
          <w:spacing w:val="0"/>
          <w:sz w:val="28"/>
          <w:szCs w:val="28"/>
        </w:rPr>
      </w:pPr>
      <w:r>
        <w:rPr>
          <w:rStyle w:val="6"/>
          <w:rFonts w:hint="eastAsia" w:ascii="宋体" w:hAnsi="宋体" w:eastAsia="宋体" w:cs="宋体"/>
          <w:i w:val="0"/>
          <w:iCs w:val="0"/>
          <w:caps w:val="0"/>
          <w:color w:val="333333"/>
          <w:spacing w:val="0"/>
          <w:sz w:val="28"/>
          <w:szCs w:val="28"/>
          <w:shd w:val="clear"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总体上看，公司政府信息公开工作遵循应公开尽公开的基本原则。但仍然存在以下几方面的不足：离上级的要求及群众的需求，还存在公开内容有待进一步充实问题。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今后，将在以下两个方面加强政府信息公开工作。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一是进一步完善网站建设。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二是进一步完善政府信息公开工作制度。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rPr>
          <w:rFonts w:hint="eastAsia" w:ascii="宋体" w:hAnsi="宋体" w:eastAsia="宋体" w:cs="宋体"/>
          <w:i w:val="0"/>
          <w:iCs w:val="0"/>
          <w:caps w:val="0"/>
          <w:color w:val="333333"/>
          <w:spacing w:val="0"/>
          <w:sz w:val="28"/>
          <w:szCs w:val="28"/>
        </w:rPr>
      </w:pPr>
      <w:r>
        <w:rPr>
          <w:rStyle w:val="6"/>
          <w:rFonts w:hint="eastAsia" w:ascii="宋体" w:hAnsi="宋体" w:eastAsia="宋体" w:cs="宋体"/>
          <w:i w:val="0"/>
          <w:iCs w:val="0"/>
          <w:caps w:val="0"/>
          <w:color w:val="333333"/>
          <w:spacing w:val="0"/>
          <w:sz w:val="28"/>
          <w:szCs w:val="28"/>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没有其他需要报告的事项。</w:t>
      </w:r>
    </w:p>
    <w:p>
      <w:pPr>
        <w:rPr>
          <w:rFonts w:hint="eastAsia"/>
          <w:sz w:val="22"/>
          <w:szCs w:val="28"/>
          <w:lang w:val="en-US" w:eastAsia="zh-CN"/>
        </w:rPr>
      </w:pPr>
      <w:r>
        <w:rPr>
          <w:rFonts w:hint="eastAsia"/>
          <w:sz w:val="22"/>
          <w:szCs w:val="28"/>
          <w:lang w:val="en-US" w:eastAsia="zh-CN"/>
        </w:rPr>
        <w:t xml:space="preserve">                                          </w:t>
      </w:r>
    </w:p>
    <w:p>
      <w:pPr>
        <w:ind w:firstLine="3520" w:firstLineChars="1600"/>
        <w:rPr>
          <w:rFonts w:hint="eastAsia"/>
          <w:sz w:val="22"/>
          <w:szCs w:val="28"/>
          <w:lang w:val="en-US" w:eastAsia="zh-CN"/>
        </w:rPr>
      </w:pPr>
    </w:p>
    <w:p>
      <w:pPr>
        <w:ind w:firstLine="3520" w:firstLineChars="1600"/>
        <w:rPr>
          <w:rFonts w:hint="eastAsia"/>
          <w:sz w:val="22"/>
          <w:szCs w:val="28"/>
          <w:lang w:val="en-US" w:eastAsia="zh-CN"/>
        </w:rPr>
      </w:pPr>
    </w:p>
    <w:p>
      <w:pPr>
        <w:ind w:firstLine="4180" w:firstLineChars="1900"/>
        <w:rPr>
          <w:rFonts w:hint="eastAsia"/>
          <w:sz w:val="28"/>
          <w:szCs w:val="36"/>
          <w:lang w:val="en-US" w:eastAsia="zh-CN"/>
        </w:rPr>
      </w:pPr>
      <w:r>
        <w:rPr>
          <w:rFonts w:hint="eastAsia"/>
          <w:sz w:val="22"/>
          <w:szCs w:val="28"/>
          <w:lang w:val="en-US" w:eastAsia="zh-CN"/>
        </w:rPr>
        <w:t xml:space="preserve"> </w:t>
      </w:r>
      <w:r>
        <w:rPr>
          <w:rFonts w:hint="eastAsia"/>
          <w:sz w:val="28"/>
          <w:szCs w:val="36"/>
          <w:lang w:val="en-US" w:eastAsia="zh-CN"/>
        </w:rPr>
        <w:t>沁源县汽车客运中心有限公司</w:t>
      </w:r>
    </w:p>
    <w:p>
      <w:pPr>
        <w:ind w:firstLine="5320" w:firstLineChars="1900"/>
        <w:rPr>
          <w:rFonts w:hint="default"/>
          <w:sz w:val="28"/>
          <w:szCs w:val="36"/>
          <w:lang w:val="en-US" w:eastAsia="zh-CN"/>
        </w:rPr>
      </w:pPr>
      <w:bookmarkStart w:id="0" w:name="_GoBack"/>
      <w:bookmarkEnd w:id="0"/>
      <w:r>
        <w:rPr>
          <w:rFonts w:hint="eastAsia"/>
          <w:sz w:val="28"/>
          <w:szCs w:val="36"/>
          <w:lang w:val="en-US" w:eastAsia="zh-CN"/>
        </w:rPr>
        <w:t xml:space="preserve"> 2023年1月30日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zU1MTFiYzc5MGUyNjNkY2E3M2YyMjJhOTRhYjIifQ=="/>
  </w:docVars>
  <w:rsids>
    <w:rsidRoot w:val="17E07B44"/>
    <w:rsid w:val="17E07B44"/>
    <w:rsid w:val="3C4E338D"/>
    <w:rsid w:val="51B6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1562</Words>
  <Characters>1804</Characters>
  <Lines>0</Lines>
  <Paragraphs>0</Paragraphs>
  <TotalTime>15</TotalTime>
  <ScaleCrop>false</ScaleCrop>
  <LinksUpToDate>false</LinksUpToDate>
  <CharactersWithSpaces>1856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2023-01-30T09:12:00Z</dcterms:created>
  <dc:creator>acer</dc:creator>
  <cp:lastModifiedBy>acer</cp:lastModifiedBy>
  <dcterms:modified xsi:type="dcterms:W3CDTF">2023-01-30T10:03:36Z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B288D94EAA2B4E42B0D3E5AD2DAA1F8A</vt:lpwstr>
  </property>
</Properties>
</file>