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 w:afterAutospacing="0"/>
        <w:ind w:left="0" w:right="0"/>
        <w:jc w:val="center"/>
        <w:rPr>
          <w:rFonts w:ascii="微软雅黑" w:hAnsi="微软雅黑" w:eastAsia="微软雅黑" w:cs="微软雅黑"/>
          <w:color w:val="444444"/>
          <w:sz w:val="37"/>
          <w:szCs w:val="37"/>
        </w:rPr>
      </w:pPr>
      <w:r>
        <w:rPr>
          <w:rFonts w:hint="eastAsia" w:ascii="微软雅黑" w:hAnsi="微软雅黑" w:eastAsia="微软雅黑" w:cs="微软雅黑"/>
          <w:i w:val="0"/>
          <w:iCs w:val="0"/>
          <w:caps w:val="0"/>
          <w:color w:val="444444"/>
          <w:spacing w:val="0"/>
          <w:sz w:val="37"/>
          <w:szCs w:val="37"/>
        </w:rPr>
        <w:t>沁源县汽车客运中心有限公司202</w:t>
      </w:r>
      <w:r>
        <w:rPr>
          <w:rFonts w:hint="eastAsia" w:ascii="微软雅黑" w:hAnsi="微软雅黑" w:eastAsia="微软雅黑" w:cs="微软雅黑"/>
          <w:i w:val="0"/>
          <w:iCs w:val="0"/>
          <w:caps w:val="0"/>
          <w:color w:val="444444"/>
          <w:spacing w:val="0"/>
          <w:sz w:val="37"/>
          <w:szCs w:val="37"/>
          <w:lang w:val="en-US" w:eastAsia="zh-CN"/>
        </w:rPr>
        <w:t>2</w:t>
      </w:r>
      <w:r>
        <w:rPr>
          <w:rFonts w:hint="eastAsia" w:ascii="微软雅黑" w:hAnsi="微软雅黑" w:eastAsia="微软雅黑" w:cs="微软雅黑"/>
          <w:i w:val="0"/>
          <w:iCs w:val="0"/>
          <w:caps w:val="0"/>
          <w:color w:val="444444"/>
          <w:spacing w:val="0"/>
          <w:sz w:val="37"/>
          <w:szCs w:val="37"/>
        </w:rPr>
        <w:t>年政府信息公开年度报告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沁源县汽车客运中心有限公司202</w:t>
      </w: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年政府信息公开年度报告 本年度报告是根据《中华人民共和国政府信息公开条例》的要求，由沁源县客运中心编制而成。报告中所列数据的统计时限为202</w:t>
      </w: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年1月1日起至202</w:t>
      </w: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年12月31日止。报告通过沁源县人民政府门户网站</w:t>
      </w:r>
      <w:bookmarkStart w:id="0" w:name="_GoBack"/>
      <w:bookmarkEnd w:id="0"/>
      <w:r>
        <w:rPr>
          <w:rFonts w:hint="eastAsia" w:ascii="宋体" w:hAnsi="宋体" w:eastAsia="宋体" w:cs="宋体"/>
          <w:i w:val="0"/>
          <w:iCs w:val="0"/>
          <w:caps w:val="0"/>
          <w:color w:val="333333"/>
          <w:spacing w:val="0"/>
          <w:sz w:val="24"/>
          <w:szCs w:val="24"/>
        </w:rPr>
        <w:t>给予公布。（地址：沁源县人民路南段，邮编：046500,联系电话：0355-7832102电子邮箱qykyzx@163.com）。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202</w:t>
      </w: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年，山西省沁源县客运中心以习近平新时代中国特色社会主义思想为指导，深入贯彻习近平总书记视察山西重要讲话重要指示，严格执行《中华人民共和国政府信息公开条例》有关规定，加强政府信息公开工作管理，不断提高政府信息公开工作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1．配强工作力量，健全工作机制。根据《条例》要求，安排专人负责政府信息公开工作，积极参加政府信息公开工作培训，及时整改网站督查中发现的问题。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2．深化主动公开内容。202</w:t>
      </w: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年全年发布信息公开年度报告1条，便民信息3条。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8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3．完善政府信息公开平台建设。严格执行信息发布审核校对制度，政府公开信息经分管领导审核后发布。今年政府网站改版升级后，完善政府信息公开指南，规范栏目设置，保证政府信息公开网站正常运行。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64"/>
        <w:gridCol w:w="2135"/>
        <w:gridCol w:w="2158"/>
        <w:gridCol w:w="216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本年制发件数</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本年废止件数</w:t>
            </w:r>
          </w:p>
        </w:tc>
        <w:tc>
          <w:tcPr>
            <w:tcW w:w="243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规章</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行政规范性文件</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c>
          <w:tcPr>
            <w:tcW w:w="243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信息内容</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信息内容</w:t>
            </w:r>
          </w:p>
        </w:tc>
        <w:tc>
          <w:tcPr>
            <w:tcW w:w="7305"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                             0 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3"/>
        <w:gridCol w:w="887"/>
        <w:gridCol w:w="2618"/>
        <w:gridCol w:w="609"/>
        <w:gridCol w:w="609"/>
        <w:gridCol w:w="609"/>
        <w:gridCol w:w="609"/>
        <w:gridCol w:w="609"/>
        <w:gridCol w:w="609"/>
        <w:gridCol w:w="6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restart"/>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ascii="楷体" w:hAnsi="楷体" w:eastAsia="楷体" w:cs="楷体"/>
                <w:color w:val="333333"/>
                <w:sz w:val="19"/>
                <w:szCs w:val="19"/>
              </w:rPr>
              <w:t>（本列数据的勾稽关系为：第一项加第二项之和，等于第三项加第四项之和）</w:t>
            </w:r>
          </w:p>
        </w:tc>
        <w:tc>
          <w:tcPr>
            <w:tcW w:w="4995"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720"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自然人</w:t>
            </w:r>
          </w:p>
        </w:tc>
        <w:tc>
          <w:tcPr>
            <w:tcW w:w="3570" w:type="dxa"/>
            <w:gridSpan w:val="5"/>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法人或其他组织</w:t>
            </w:r>
          </w:p>
        </w:tc>
        <w:tc>
          <w:tcPr>
            <w:tcW w:w="720" w:type="dxa"/>
            <w:vMerge w:val="restart"/>
            <w:tcBorders>
              <w:top w:val="single" w:color="auto" w:sz="6" w:space="0"/>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720"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企业</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机构</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社会公益组织</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法律服务机构</w:t>
            </w:r>
          </w:p>
        </w:tc>
        <w:tc>
          <w:tcPr>
            <w:tcW w:w="720" w:type="dxa"/>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其他</w:t>
            </w:r>
          </w:p>
        </w:tc>
        <w:tc>
          <w:tcPr>
            <w:tcW w:w="720" w:type="dxa"/>
            <w:vMerge w:val="continue"/>
            <w:tcBorders>
              <w:top w:val="single" w:color="auto" w:sz="6" w:space="0"/>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一、本年新收政府信息公开申请数量</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二、上年结转政府信息公开申请数量</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restart"/>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三、本年度办理结果</w:t>
            </w: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（一）予以公开</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（二）部分公开</w:t>
            </w:r>
            <w:r>
              <w:rPr>
                <w:rFonts w:hint="eastAsia" w:ascii="楷体" w:hAnsi="楷体" w:eastAsia="楷体" w:cs="楷体"/>
                <w:color w:val="333333"/>
                <w:sz w:val="19"/>
                <w:szCs w:val="19"/>
              </w:rPr>
              <w:t>（区分处理的，只计这一情形，不计其他情形）</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（三）不予公开</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1.属于国家秘密</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2.其他法律行政法规禁止公开</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3.危及“三安全一稳定”</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4.保护第三方合法权益</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5.属于三类内部事务信息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6.属于四类过程性信息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7.属于行政执法案卷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8.属于行政查询事项</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（四）无法提供</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1.本机关不掌握相关政府信息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2.没有现成信息需要另行制作</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3.补正后申请内容仍不明确</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（五）不予处理</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1.信访举报投诉类申请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2.重复申请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3.要求提供公开出版物</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4.无正当理由大量反复申请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19"/>
                <w:szCs w:val="19"/>
              </w:rPr>
              <w:t>5.要求行政机关确认或重新出具已获取信息</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restart"/>
            <w:tcBorders>
              <w:top w:val="nil"/>
              <w:left w:val="nil"/>
              <w:bottom w:val="outset"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（六）其他处理</w:t>
            </w: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19"/>
                <w:szCs w:val="19"/>
              </w:rPr>
              <w:t>1.申请人无正当理由逾期不补正、行政机关不再处理其政府信息公开申请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jc w:val="both"/>
              <w:rPr>
                <w:rFonts w:hint="eastAsia" w:ascii="宋体" w:hAnsi="宋体" w:eastAsia="宋体" w:cs="宋体"/>
                <w:color w:val="333333"/>
                <w:sz w:val="24"/>
                <w:szCs w:val="24"/>
              </w:rPr>
            </w:pPr>
            <w:r>
              <w:rPr>
                <w:rFonts w:hint="eastAsia" w:ascii="宋体" w:hAnsi="宋体" w:eastAsia="宋体" w:cs="宋体"/>
                <w:color w:val="333333"/>
                <w:sz w:val="19"/>
                <w:szCs w:val="19"/>
              </w:rPr>
              <w:t>2.申请人逾期未按收费通知要求缴纳费用、行政机关不再处理其政府信息公开申请</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960" w:type="dxa"/>
            <w:vMerge w:val="continue"/>
            <w:tcBorders>
              <w:top w:val="nil"/>
              <w:left w:val="nil"/>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340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3.其他</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left w:w="60" w:type="dxa"/>
              <w:right w:w="60" w:type="dxa"/>
            </w:tcMar>
            <w:vAlign w:val="center"/>
          </w:tcPr>
          <w:p>
            <w:pPr>
              <w:rPr>
                <w:rFonts w:hint="eastAsia" w:ascii="微软雅黑" w:hAnsi="微软雅黑" w:eastAsia="微软雅黑" w:cs="微软雅黑"/>
                <w:sz w:val="21"/>
                <w:szCs w:val="21"/>
              </w:rPr>
            </w:pPr>
          </w:p>
        </w:tc>
        <w:tc>
          <w:tcPr>
            <w:tcW w:w="4365"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（七）总计</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rPr>
                <w:rFonts w:hint="eastAsia" w:ascii="宋体" w:hAnsi="宋体" w:eastAsia="宋体" w:cs="宋体"/>
                <w:color w:val="333333"/>
                <w:sz w:val="24"/>
                <w:szCs w:val="24"/>
              </w:rPr>
            </w:pPr>
            <w:r>
              <w:rPr>
                <w:rFonts w:hint="eastAsia" w:ascii="宋体" w:hAnsi="宋体" w:eastAsia="宋体" w:cs="宋体"/>
                <w:color w:val="333333"/>
                <w:sz w:val="19"/>
                <w:szCs w:val="19"/>
              </w:rPr>
              <w:t>四、结转下年度继续办理</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720" w:type="dxa"/>
            <w:tcBorders>
              <w:top w:val="nil"/>
              <w:left w:val="nil"/>
              <w:bottom w:val="single" w:color="auto" w:sz="6" w:space="0"/>
              <w:right w:val="single" w:color="auto" w:sz="6" w:space="0"/>
            </w:tcBorders>
            <w:shd w:val="clear" w:color="auto" w:fill="auto"/>
            <w:tcMar>
              <w:left w:w="60" w:type="dxa"/>
              <w:right w:w="60"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行政复议</w:t>
            </w:r>
          </w:p>
        </w:tc>
        <w:tc>
          <w:tcPr>
            <w:tcW w:w="643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结果维持</w:t>
            </w:r>
          </w:p>
        </w:tc>
        <w:tc>
          <w:tcPr>
            <w:tcW w:w="64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纠正</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其他</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结果</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尚未</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审结</w:t>
            </w:r>
          </w:p>
        </w:tc>
        <w:tc>
          <w:tcPr>
            <w:tcW w:w="64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总计</w:t>
            </w:r>
          </w:p>
        </w:tc>
        <w:tc>
          <w:tcPr>
            <w:tcW w:w="32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未经复议直接起诉</w:t>
            </w:r>
          </w:p>
        </w:tc>
        <w:tc>
          <w:tcPr>
            <w:tcW w:w="321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64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64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1"/>
                <w:szCs w:val="21"/>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其他</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尚未</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总计</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维持</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结果</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纠正</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其他</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结果</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尚未</w:t>
            </w:r>
            <w:r>
              <w:rPr>
                <w:rFonts w:hint="eastAsia" w:ascii="微软雅黑" w:hAnsi="微软雅黑" w:eastAsia="微软雅黑" w:cs="微软雅黑"/>
                <w:color w:val="333333"/>
                <w:sz w:val="21"/>
                <w:szCs w:val="21"/>
              </w:rPr>
              <w:br w:type="textWrapping"/>
            </w:r>
            <w:r>
              <w:rPr>
                <w:rFonts w:hint="eastAsia" w:ascii="宋体" w:hAnsi="宋体" w:eastAsia="宋体" w:cs="宋体"/>
                <w:color w:val="333333"/>
                <w:sz w:val="19"/>
                <w:szCs w:val="19"/>
              </w:rPr>
              <w:t>审结</w:t>
            </w:r>
          </w:p>
        </w:tc>
        <w:tc>
          <w:tcPr>
            <w:tcW w:w="64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总体上看，公司政府信息公开工作遵循应公开尽公开的基本原则。但仍然存在以下几方面的不足：离上级的要求及群众的需求，还存在公开内容有待进一步充实问题。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今后，将在以下两个方面加强政府信息公开工作。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一是进一步完善网站建设。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二是进一步完善政府信息公开工作制度。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没有其他需要报告的事项。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zU1MTFiYzc5MGUyNjNkY2E3M2YyMjJhOTRhYjIifQ=="/>
  </w:docVars>
  <w:rsids>
    <w:rsidRoot w:val="17E07B44"/>
    <w:rsid w:val="17E07B44"/>
    <w:rsid w:val="3C4E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1546</Words>
  <Characters>1808</Characters>
  <Lines>0</Lines>
  <Paragraphs>0</Paragraphs>
  <TotalTime>12</TotalTime>
  <ScaleCrop>false</ScaleCrop>
  <LinksUpToDate>false</LinksUpToDate>
  <CharactersWithSpaces>1808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2023-01-30T09:12:00Z</dcterms:created>
  <dc:creator>acer</dc:creator>
  <cp:lastModifiedBy>acer</cp:lastModifiedBy>
  <dcterms:modified xsi:type="dcterms:W3CDTF">2023-01-30T09:28:43Z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B288D94EAA2B4E42B0D3E5AD2DAA1F8A</vt:lpwstr>
  </property>
</Properties>
</file>